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atLeast"/>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附件1-3</w:t>
      </w:r>
    </w:p>
    <w:p>
      <w:pPr>
        <w:keepNext w:val="0"/>
        <w:keepLines w:val="0"/>
        <w:pageBreakBefore w:val="0"/>
        <w:kinsoku/>
        <w:wordWrap/>
        <w:overflowPunct/>
        <w:topLinePunct w:val="0"/>
        <w:autoSpaceDE/>
        <w:autoSpaceDN/>
        <w:bidi w:val="0"/>
        <w:adjustRightInd/>
        <w:snapToGrid/>
        <w:spacing w:line="480" w:lineRule="atLeast"/>
        <w:jc w:val="left"/>
        <w:textAlignment w:val="auto"/>
        <w:rPr>
          <w:rFonts w:hint="eastAsia" w:ascii="宋体" w:hAnsi="宋体" w:eastAsia="宋体" w:cs="宋体"/>
          <w:b/>
          <w:bCs/>
          <w:sz w:val="36"/>
          <w:szCs w:val="36"/>
        </w:rPr>
      </w:pPr>
    </w:p>
    <w:p>
      <w:pPr>
        <w:keepNext w:val="0"/>
        <w:keepLines w:val="0"/>
        <w:pageBreakBefore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sz w:val="36"/>
          <w:szCs w:val="36"/>
        </w:rPr>
      </w:pPr>
      <w:bookmarkStart w:id="0" w:name="_GoBack"/>
      <w:r>
        <w:rPr>
          <w:rFonts w:hint="eastAsia" w:ascii="宋体" w:hAnsi="宋体" w:eastAsia="宋体" w:cs="宋体"/>
          <w:b/>
          <w:bCs/>
          <w:sz w:val="36"/>
          <w:szCs w:val="36"/>
        </w:rPr>
        <w:t>新疆维吾尔自治区火灾高危单位界定标准</w:t>
      </w:r>
    </w:p>
    <w:bookmarkEnd w:id="0"/>
    <w:p>
      <w:pPr>
        <w:keepNext w:val="0"/>
        <w:keepLines w:val="0"/>
        <w:pageBreakBefore w:val="0"/>
        <w:widowControl/>
        <w:kinsoku/>
        <w:wordWrap/>
        <w:overflowPunct/>
        <w:topLinePunct w:val="0"/>
        <w:autoSpaceDE/>
        <w:autoSpaceDN/>
        <w:bidi w:val="0"/>
        <w:adjustRightInd/>
        <w:snapToGrid/>
        <w:spacing w:line="480" w:lineRule="atLeast"/>
        <w:ind w:firstLine="624"/>
        <w:jc w:val="left"/>
        <w:textAlignment w:val="auto"/>
        <w:rPr>
          <w:rFonts w:hint="eastAsia" w:ascii="宋体" w:hAnsi="宋体" w:eastAsia="宋体" w:cs="宋体"/>
          <w:b w:val="0"/>
          <w:bCs w:val="0"/>
          <w:sz w:val="28"/>
          <w:szCs w:val="28"/>
        </w:rPr>
      </w:pPr>
    </w:p>
    <w:p>
      <w:pPr>
        <w:keepNext w:val="0"/>
        <w:keepLines w:val="0"/>
        <w:pageBreakBefore w:val="0"/>
        <w:widowControl/>
        <w:kinsoku/>
        <w:wordWrap/>
        <w:overflowPunct/>
        <w:topLinePunct w:val="0"/>
        <w:autoSpaceDE/>
        <w:autoSpaceDN/>
        <w:bidi w:val="0"/>
        <w:adjustRightInd/>
        <w:snapToGrid/>
        <w:spacing w:line="480" w:lineRule="atLeast"/>
        <w:ind w:firstLine="624"/>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按照《新疆维吾尔自治区火灾高危单位消防安全管理暂行规定》（新政发〔2013〕53号）第二条规定，下列范围的单位、场所是火灾高危单位：</w:t>
      </w:r>
    </w:p>
    <w:p>
      <w:pPr>
        <w:keepNext w:val="0"/>
        <w:keepLines w:val="0"/>
        <w:pageBreakBefore w:val="0"/>
        <w:widowControl/>
        <w:kinsoku/>
        <w:wordWrap/>
        <w:overflowPunct/>
        <w:topLinePunct w:val="0"/>
        <w:autoSpaceDE/>
        <w:autoSpaceDN/>
        <w:bidi w:val="0"/>
        <w:adjustRightInd/>
        <w:snapToGrid/>
        <w:spacing w:line="480" w:lineRule="atLeast"/>
        <w:ind w:firstLine="624"/>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一）单层建筑面积5000平方米以上或建筑总面积50000平方米以上、经营易燃可燃商品的商场，建筑总面积20000平方米以上的集贸市场，设有中央空调且三星级以上或客房数在200间以上的宾馆、饭店，建筑总面积10000平方米以上的其他地下公众聚集场所；</w:t>
      </w:r>
    </w:p>
    <w:p>
      <w:pPr>
        <w:keepNext w:val="0"/>
        <w:keepLines w:val="0"/>
        <w:pageBreakBefore w:val="0"/>
        <w:widowControl/>
        <w:kinsoku/>
        <w:wordWrap/>
        <w:overflowPunct/>
        <w:topLinePunct w:val="0"/>
        <w:autoSpaceDE/>
        <w:autoSpaceDN/>
        <w:bidi w:val="0"/>
        <w:adjustRightInd/>
        <w:snapToGrid/>
        <w:spacing w:line="480" w:lineRule="atLeast"/>
        <w:ind w:firstLine="624"/>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（二）位于建筑的首层、二层、三层且建筑总面积5000平方米以上，或者位于建筑的地下、四层以上且建筑总面积2000平方米以上的公共娱乐场所；</w:t>
      </w:r>
    </w:p>
    <w:p>
      <w:pPr>
        <w:keepNext w:val="0"/>
        <w:keepLines w:val="0"/>
        <w:pageBreakBefore w:val="0"/>
        <w:widowControl/>
        <w:kinsoku/>
        <w:wordWrap/>
        <w:overflowPunct/>
        <w:topLinePunct w:val="0"/>
        <w:autoSpaceDE/>
        <w:autoSpaceDN/>
        <w:bidi w:val="0"/>
        <w:adjustRightInd/>
        <w:snapToGrid/>
        <w:spacing w:line="480" w:lineRule="atLeast"/>
        <w:ind w:firstLine="624"/>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（三）床位数1000张以上的医院，床位数200张以上的养老院、敬老院、福利院，床位数100张以上的寄宿制幼儿园、托儿所；</w:t>
      </w:r>
    </w:p>
    <w:p>
      <w:pPr>
        <w:keepNext w:val="0"/>
        <w:keepLines w:val="0"/>
        <w:pageBreakBefore w:val="0"/>
        <w:widowControl/>
        <w:kinsoku/>
        <w:wordWrap/>
        <w:overflowPunct/>
        <w:topLinePunct w:val="0"/>
        <w:autoSpaceDE/>
        <w:autoSpaceDN/>
        <w:bidi w:val="0"/>
        <w:adjustRightInd/>
        <w:snapToGrid/>
        <w:spacing w:line="480" w:lineRule="atLeast"/>
        <w:ind w:firstLine="624"/>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（四）建筑总面积50000平方米以上的公共体育馆、会堂、展览馆、博物馆；</w:t>
      </w:r>
    </w:p>
    <w:p>
      <w:pPr>
        <w:keepNext w:val="0"/>
        <w:keepLines w:val="0"/>
        <w:pageBreakBefore w:val="0"/>
        <w:widowControl/>
        <w:kinsoku/>
        <w:wordWrap/>
        <w:overflowPunct/>
        <w:topLinePunct w:val="0"/>
        <w:autoSpaceDE/>
        <w:autoSpaceDN/>
        <w:bidi w:val="0"/>
        <w:adjustRightInd/>
        <w:snapToGrid/>
        <w:spacing w:line="480" w:lineRule="atLeast"/>
        <w:ind w:firstLine="624"/>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（五）总储量10000立方米以上的甲、乙类可燃气体和总储量30000立方米以上的甲、乙类易燃液体的生产、充装、储存、销售单位；</w:t>
      </w:r>
    </w:p>
    <w:p>
      <w:pPr>
        <w:keepNext w:val="0"/>
        <w:keepLines w:val="0"/>
        <w:pageBreakBefore w:val="0"/>
        <w:widowControl/>
        <w:kinsoku/>
        <w:wordWrap/>
        <w:overflowPunct/>
        <w:topLinePunct w:val="0"/>
        <w:autoSpaceDE/>
        <w:autoSpaceDN/>
        <w:bidi w:val="0"/>
        <w:adjustRightInd/>
        <w:snapToGrid/>
        <w:spacing w:line="480" w:lineRule="atLeast"/>
        <w:ind w:firstLine="624"/>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（六）总储量50000吨以上的粮库，总储量10000吨以上的棉花储存、加工场所，总储量50000立方米以上的木材堆场，以及储存总价值2000万元以上的其他可燃物品仓库、堆场；</w:t>
      </w:r>
    </w:p>
    <w:p>
      <w:pPr>
        <w:keepNext w:val="0"/>
        <w:keepLines w:val="0"/>
        <w:pageBreakBefore w:val="0"/>
        <w:widowControl/>
        <w:kinsoku/>
        <w:wordWrap/>
        <w:overflowPunct/>
        <w:topLinePunct w:val="0"/>
        <w:autoSpaceDE/>
        <w:autoSpaceDN/>
        <w:bidi w:val="0"/>
        <w:adjustRightInd/>
        <w:snapToGrid/>
        <w:spacing w:line="480" w:lineRule="atLeast"/>
        <w:ind w:firstLine="624"/>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（七）建筑高度超过100米的高层公共建筑；</w:t>
      </w:r>
    </w:p>
    <w:p>
      <w:pPr>
        <w:keepNext w:val="0"/>
        <w:keepLines w:val="0"/>
        <w:pageBreakBefore w:val="0"/>
        <w:widowControl/>
        <w:kinsoku/>
        <w:wordWrap/>
        <w:overflowPunct/>
        <w:topLinePunct w:val="0"/>
        <w:autoSpaceDE/>
        <w:autoSpaceDN/>
        <w:bidi w:val="0"/>
        <w:adjustRightInd/>
        <w:snapToGrid/>
        <w:spacing w:line="480" w:lineRule="atLeast"/>
        <w:ind w:firstLine="624"/>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（八）规模容量120万千瓦以上的发电厂；</w:t>
      </w:r>
    </w:p>
    <w:p>
      <w:pPr>
        <w:keepNext w:val="0"/>
        <w:keepLines w:val="0"/>
        <w:pageBreakBefore w:val="0"/>
        <w:widowControl/>
        <w:kinsoku/>
        <w:wordWrap/>
        <w:overflowPunct/>
        <w:topLinePunct w:val="0"/>
        <w:autoSpaceDE/>
        <w:autoSpaceDN/>
        <w:bidi w:val="0"/>
        <w:adjustRightInd/>
        <w:snapToGrid/>
        <w:spacing w:line="480" w:lineRule="atLeast"/>
        <w:ind w:firstLine="624"/>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（九）采用木结构或砖木结构的全国重点文物保护单位；</w:t>
      </w:r>
    </w:p>
    <w:p>
      <w:pPr>
        <w:keepNext w:val="0"/>
        <w:keepLines w:val="0"/>
        <w:pageBreakBefore w:val="0"/>
        <w:widowControl/>
        <w:kinsoku/>
        <w:wordWrap/>
        <w:overflowPunct/>
        <w:topLinePunct w:val="0"/>
        <w:autoSpaceDE/>
        <w:autoSpaceDN/>
        <w:bidi w:val="0"/>
        <w:adjustRightInd/>
        <w:snapToGrid/>
        <w:spacing w:line="480" w:lineRule="atLeast"/>
        <w:ind w:firstLine="624"/>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（十）其他容易发生火灾且一旦发生火灾可能造成重大人员伤亡或者财产损失的单位、场所。</w:t>
      </w:r>
    </w:p>
    <w:p>
      <w:pPr>
        <w:keepNext w:val="0"/>
        <w:keepLines w:val="0"/>
        <w:pageBreakBefore w:val="0"/>
        <w:widowControl/>
        <w:kinsoku/>
        <w:wordWrap/>
        <w:overflowPunct/>
        <w:topLinePunct w:val="0"/>
        <w:autoSpaceDE/>
        <w:autoSpaceDN/>
        <w:bidi w:val="0"/>
        <w:adjustRightInd/>
        <w:snapToGrid/>
        <w:spacing w:line="480" w:lineRule="atLeast"/>
        <w:ind w:firstLine="624"/>
        <w:jc w:val="left"/>
        <w:textAlignment w:val="auto"/>
        <w:rPr>
          <w:rFonts w:hint="eastAsia" w:ascii="宋体" w:hAnsi="宋体" w:eastAsia="宋体" w:cs="宋体"/>
          <w:b w:val="0"/>
          <w:bCs w:val="0"/>
          <w:sz w:val="28"/>
          <w:szCs w:val="28"/>
        </w:rPr>
      </w:pPr>
    </w:p>
    <w:p>
      <w:pPr>
        <w:keepNext w:val="0"/>
        <w:keepLines w:val="0"/>
        <w:pageBreakBefore w:val="0"/>
        <w:widowControl/>
        <w:kinsoku/>
        <w:wordWrap/>
        <w:overflowPunct/>
        <w:topLinePunct w:val="0"/>
        <w:autoSpaceDE/>
        <w:autoSpaceDN/>
        <w:bidi w:val="0"/>
        <w:adjustRightInd/>
        <w:snapToGrid/>
        <w:spacing w:line="480" w:lineRule="atLeast"/>
        <w:ind w:firstLine="624"/>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说明：本标准中所提到的“以上”包含本数。</w:t>
      </w:r>
    </w:p>
    <w:p/>
    <w:sectPr>
      <w:footerReference r:id="rId3" w:type="default"/>
      <w:pgSz w:w="11906" w:h="16838"/>
      <w:pgMar w:top="1531" w:right="1531" w:bottom="153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8976902"/>
    </w:sdtPr>
    <w:sdtEndPr>
      <w:rPr>
        <w:rFonts w:ascii="Times New Roman" w:cs="Times New Roman"/>
        <w:sz w:val="28"/>
        <w:szCs w:val="28"/>
      </w:rPr>
    </w:sdtEndPr>
    <w:sdtContent>
      <w:p>
        <w:pPr>
          <w:pStyle w:val="2"/>
          <w:jc w:val="right"/>
          <w:rPr>
            <w:rFonts w:ascii="Times New Roman" w:cs="Times New Roman"/>
            <w:sz w:val="28"/>
            <w:szCs w:val="28"/>
          </w:rPr>
        </w:pPr>
        <w:r>
          <w:rPr>
            <w:rFonts w:ascii="Times New Roman" w:cs="Times New Roman"/>
            <w:sz w:val="28"/>
            <w:szCs w:val="28"/>
          </w:rPr>
          <w:t>—</w:t>
        </w:r>
        <w:r>
          <w:rPr>
            <w:rFonts w:ascii="Times New Roman" w:cs="Times New Roman"/>
            <w:sz w:val="28"/>
            <w:szCs w:val="28"/>
          </w:rPr>
          <w:fldChar w:fldCharType="begin"/>
        </w:r>
        <w:r>
          <w:rPr>
            <w:rFonts w:ascii="Times New Roman" w:cs="Times New Roman"/>
            <w:sz w:val="28"/>
            <w:szCs w:val="28"/>
          </w:rPr>
          <w:instrText xml:space="preserve">PAGE   \* MERGEFORMAT</w:instrText>
        </w:r>
        <w:r>
          <w:rPr>
            <w:rFonts w:ascii="Times New Roman" w:cs="Times New Roman"/>
            <w:sz w:val="28"/>
            <w:szCs w:val="28"/>
          </w:rPr>
          <w:fldChar w:fldCharType="separate"/>
        </w:r>
        <w:r>
          <w:rPr>
            <w:rFonts w:ascii="Times New Roman" w:cs="Times New Roman"/>
            <w:sz w:val="28"/>
            <w:szCs w:val="28"/>
            <w:lang w:val="zh-CN"/>
          </w:rPr>
          <w:t>4</w:t>
        </w:r>
        <w:r>
          <w:rPr>
            <w:rFonts w:ascii="Times New Roman" w:cs="Times New Roman"/>
            <w:sz w:val="28"/>
            <w:szCs w:val="28"/>
          </w:rPr>
          <w:fldChar w:fldCharType="end"/>
        </w:r>
        <w:r>
          <w:rPr>
            <w:rFonts w:asci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RiY2IyNzdhN2Q0ODcxOTAzNzhiNjZlNjFjNGQifQ=="/>
  </w:docVars>
  <w:rsids>
    <w:rsidRoot w:val="30DA6D4C"/>
    <w:rsid w:val="30DA6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2023-03-17T02:33:00Z</dcterms:created>
  <dc:creator>sinner</dc:creator>
  <cp:lastModifiedBy>sinner</cp:lastModifiedBy>
  <dcterms:modified xsi:type="dcterms:W3CDTF">2023-03-17T02:34:19Z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B74791FA87BD449EADDD1A7833FC4BEA</vt:lpwstr>
  </property>
</Properties>
</file>