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 xml:space="preserve">  </w:t>
      </w:r>
      <w:r>
        <w:rPr>
          <w:rFonts w:hint="eastAsia" w:cs="Times New Roman"/>
          <w:b/>
          <w:bCs/>
          <w:sz w:val="24"/>
          <w:lang w:val="en-US" w:eastAsia="zh-CN"/>
        </w:rPr>
        <w:t>裕民县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城镇标定地价成果汇总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right"/>
        <w:textAlignment w:val="auto"/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caps w:val="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aps w:val="0"/>
          <w:sz w:val="21"/>
          <w:szCs w:val="21"/>
          <w:lang w:val="en-US" w:eastAsia="zh-CN"/>
        </w:rPr>
        <w:t>单位：元/m</w:t>
      </w:r>
      <w:r>
        <w:rPr>
          <w:rFonts w:hint="default" w:ascii="Times New Roman" w:hAnsi="Times New Roman" w:eastAsia="仿宋" w:cs="Times New Roman"/>
          <w:caps w:val="0"/>
          <w:sz w:val="21"/>
          <w:szCs w:val="21"/>
          <w:vertAlign w:val="superscript"/>
          <w:lang w:val="en-US" w:eastAsia="zh-CN"/>
        </w:rPr>
        <w:t>2</w:t>
      </w:r>
    </w:p>
    <w:tbl>
      <w:tblPr>
        <w:tblStyle w:val="7"/>
        <w:tblW w:w="1416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17"/>
        <w:gridCol w:w="1693"/>
        <w:gridCol w:w="737"/>
        <w:gridCol w:w="1333"/>
        <w:gridCol w:w="1897"/>
        <w:gridCol w:w="2742"/>
        <w:gridCol w:w="692"/>
        <w:gridCol w:w="1375"/>
        <w:gridCol w:w="1146"/>
        <w:gridCol w:w="11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标定区域编码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用途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位置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标准宗地编码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建筑物名称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权利类型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现状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容积率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开发程度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标定地价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S1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654225S50001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商服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654225S5000101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金盛大厦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4.00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566.00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S2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654225S50002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商服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654225S5000201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裕福源大酒店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1.61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491.13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S3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654225S50003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商服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654225S5000301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平安汽车商贸城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1.00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175.12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S4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654225S50004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商服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654225S5000401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格林联盟酒店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3.28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287.90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S5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654225S50005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商服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654225S5000501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博佳4S店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0.60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156.46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Z1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住宅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654225Z7000101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山水华府小区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1.08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248.03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Z2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住宅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654225Z7000201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公园小区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1.60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250.46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Z3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住宅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654225Z7000301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金地花园小区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1.81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280.24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Z4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住宅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654225Z7000401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白杨小区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2.25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211.69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Z5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住宅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654225Z7000501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郁金苑小区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2.00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221.95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Z6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住宅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654225Z7000601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团结花苑小区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2.00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247.20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Z7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住宅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654225Z7000701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祥和花苑小区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1.96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196.24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Z8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住宅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654225Z7000801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怡景苑小区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2.28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309.15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Z9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住宅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654225Z7000901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祥瑞小区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1.78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230.16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H1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654225H70001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商混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654225H7000101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壹号洋房小区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1.54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388.85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H2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654225H70002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商混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654225H7000201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红花国际小区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1.80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335.56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H3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654225H70003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商混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654225H7000301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瑞龙小区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2.10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七通一平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466.24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G1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654225G60001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654225G6000101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兴达机动车检测有限公司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0.13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六通一平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71.12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G2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654225G60002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654225G6000201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谢利盖畜牧有限公司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0.19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六通一平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74.25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G3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654225G60003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裕民县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654225G6000301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裕民天鼎红花油有限公司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出让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0.13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六通一平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65.92 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00915B65"/>
    <w:rsid w:val="0009334D"/>
    <w:rsid w:val="004B2D25"/>
    <w:rsid w:val="004E3D4D"/>
    <w:rsid w:val="00574081"/>
    <w:rsid w:val="00915B65"/>
    <w:rsid w:val="009E2769"/>
    <w:rsid w:val="00F92F14"/>
    <w:rsid w:val="16225917"/>
    <w:rsid w:val="1732718C"/>
    <w:rsid w:val="1FB11305"/>
    <w:rsid w:val="2BA45145"/>
    <w:rsid w:val="31A041CB"/>
    <w:rsid w:val="375478B6"/>
    <w:rsid w:val="3A492800"/>
    <w:rsid w:val="3ECB127B"/>
    <w:rsid w:val="467C755C"/>
    <w:rsid w:val="47256C62"/>
    <w:rsid w:val="4AF84C20"/>
    <w:rsid w:val="4EB3058D"/>
    <w:rsid w:val="4FA56688"/>
    <w:rsid w:val="565D35A6"/>
    <w:rsid w:val="5B9915A7"/>
    <w:rsid w:val="5D5947CB"/>
    <w:rsid w:val="666018A7"/>
    <w:rsid w:val="6A365DAE"/>
    <w:rsid w:val="6B1E10F2"/>
    <w:rsid w:val="7C7D53FB"/>
    <w:rsid w:val="7E5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4正文"/>
    <w:basedOn w:val="1"/>
    <w:qFormat/>
    <w:uiPriority w:val="0"/>
    <w:pPr>
      <w:snapToGrid/>
      <w:spacing w:line="360" w:lineRule="auto"/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link w:val="10"/>
    <w:unhideWhenUsed/>
    <w:qFormat/>
    <w:uiPriority w:val="99"/>
    <w:pPr>
      <w:autoSpaceDE w:val="0"/>
      <w:autoSpaceDN w:val="0"/>
      <w:jc w:val="left"/>
    </w:pPr>
    <w:rPr>
      <w:rFonts w:ascii="仿宋" w:hAnsi="仿宋" w:eastAsia="仿宋" w:cs="宋体"/>
      <w:kern w:val="0"/>
      <w:sz w:val="24"/>
      <w:szCs w:val="24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table of figures"/>
    <w:basedOn w:val="1"/>
    <w:next w:val="1"/>
    <w:semiHidden/>
    <w:qFormat/>
    <w:uiPriority w:val="0"/>
    <w:pPr>
      <w:ind w:left="420" w:hanging="420"/>
      <w:jc w:val="center"/>
    </w:pPr>
    <w:rPr>
      <w:rFonts w:ascii="黑体" w:eastAsia="黑体"/>
      <w:b/>
      <w:bCs/>
      <w:caps/>
      <w:sz w:val="24"/>
    </w:rPr>
  </w:style>
  <w:style w:type="paragraph" w:styleId="6">
    <w:name w:val="Body Text First Indent"/>
    <w:basedOn w:val="3"/>
    <w:qFormat/>
    <w:uiPriority w:val="99"/>
    <w:pPr>
      <w:ind w:firstLine="420" w:firstLineChars="100"/>
    </w:pPr>
  </w:style>
  <w:style w:type="paragraph" w:customStyle="1" w:styleId="9">
    <w:name w:val="样式1"/>
    <w:basedOn w:val="1"/>
    <w:next w:val="1"/>
    <w:qFormat/>
    <w:uiPriority w:val="0"/>
    <w:rPr>
      <w:spacing w:val="20"/>
    </w:rPr>
  </w:style>
  <w:style w:type="character" w:customStyle="1" w:styleId="10">
    <w:name w:val="正文文本 字符"/>
    <w:basedOn w:val="8"/>
    <w:link w:val="3"/>
    <w:qFormat/>
    <w:uiPriority w:val="99"/>
    <w:rPr>
      <w:rFonts w:ascii="仿宋" w:hAnsi="仿宋" w:eastAsia="仿宋" w:cs="宋体"/>
      <w:kern w:val="0"/>
      <w:sz w:val="24"/>
      <w:szCs w:val="24"/>
    </w:rPr>
  </w:style>
  <w:style w:type="paragraph" w:customStyle="1" w:styleId="11">
    <w:name w:val="00表头"/>
    <w:basedOn w:val="1"/>
    <w:qFormat/>
    <w:uiPriority w:val="0"/>
    <w:pPr>
      <w:autoSpaceDE w:val="0"/>
      <w:autoSpaceDN w:val="0"/>
      <w:spacing w:line="360" w:lineRule="auto"/>
      <w:jc w:val="center"/>
    </w:pPr>
    <w:rPr>
      <w:rFonts w:ascii="宋体" w:hAnsi="宋体" w:eastAsia="宋体" w:cs="宋体"/>
      <w:b/>
      <w:spacing w:val="2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1192</Characters>
  <Lines>10</Lines>
  <Paragraphs>2</Paragraphs>
  <TotalTime>4</TotalTime>
  <ScaleCrop>false</ScaleCrop>
  <LinksUpToDate>false</LinksUpToDate>
  <CharactersWithSpaces>1235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2022-05-31T08:30:00Z</dcterms:created>
  <dc:creator>j346</dc:creator>
  <cp:lastModifiedBy>sinner</cp:lastModifiedBy>
  <cp:lastPrinted>2023-03-29T11:27:00Z</cp:lastPrinted>
  <dcterms:modified xsi:type="dcterms:W3CDTF">2023-03-29T11:34:39Z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55A1C81693094CF882F1BF30D19CACC7</vt:lpwstr>
  </property>
</Properties>
</file>