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裕民县公安局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行政处罚流程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受理案件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调查收集证据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依法采取勘验、检查、鉴定、辨认、证据保全等措施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依据有关法律法规和规章进行日常执法监督检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四种情形：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不予行政处罚：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不满十四周岁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精神病人在不能辨认或者不能控制自己行为时有违法行为的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违法行为轻微并及时纠正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违法事实不能成立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行为涉嫌犯罪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（1）转为刑事案件办理或者移送有管辖权主管机关、部门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治安调解</w:t>
      </w: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制作调解协议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达成协议并履行的，不再处罚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未达成协议或者达成协议后不履行的，依法予以处罚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终止调查</w:t>
      </w:r>
    </w:p>
    <w:p>
      <w:pPr>
        <w:numPr>
          <w:ilvl w:val="0"/>
          <w:numId w:val="6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没有违法事实</w:t>
      </w:r>
    </w:p>
    <w:p>
      <w:pPr>
        <w:numPr>
          <w:ilvl w:val="0"/>
          <w:numId w:val="6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违法行为已过追究时效的</w:t>
      </w:r>
    </w:p>
    <w:p>
      <w:pPr>
        <w:numPr>
          <w:ilvl w:val="0"/>
          <w:numId w:val="6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违法嫌疑人死亡的</w:t>
      </w:r>
    </w:p>
    <w:p>
      <w:pPr>
        <w:numPr>
          <w:ilvl w:val="0"/>
          <w:numId w:val="6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其他需要终止调查的情形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确有违法行为的进行行政处罚前的告知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符合听证程序的进行听证程序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作出行政处罚决定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送达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对象：违法人员及被侵害人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方式：直接送达、留置送达、委托或邮寄送达、公告送达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执行</w:t>
      </w:r>
    </w:p>
    <w:p>
      <w:pPr>
        <w:numPr>
          <w:ilvl w:val="0"/>
          <w:numId w:val="7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罚款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两种情形：（1）当场收缴；（2）被处罚人在收到行政处罚决定书之日起15日内到指定银行缴纳</w:t>
      </w:r>
    </w:p>
    <w:p>
      <w:pPr>
        <w:numPr>
          <w:ilvl w:val="0"/>
          <w:numId w:val="7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拘留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三种情形：（！）不执行；（2）暂缓执行；（3）通知家属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案件终结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裕民县公安局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7B2AC"/>
    <w:multiLevelType w:val="singleLevel"/>
    <w:tmpl w:val="93A7B2A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88F2631"/>
    <w:multiLevelType w:val="singleLevel"/>
    <w:tmpl w:val="988F26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8090F34"/>
    <w:multiLevelType w:val="singleLevel"/>
    <w:tmpl w:val="F8090F3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A212ED9"/>
    <w:multiLevelType w:val="singleLevel"/>
    <w:tmpl w:val="0A212E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CB51282"/>
    <w:multiLevelType w:val="singleLevel"/>
    <w:tmpl w:val="0CB51282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14D7C4A3"/>
    <w:multiLevelType w:val="singleLevel"/>
    <w:tmpl w:val="14D7C4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EC1E535"/>
    <w:multiLevelType w:val="singleLevel"/>
    <w:tmpl w:val="6EC1E5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0000000"/>
    <w:rsid w:val="57174BF7"/>
    <w:rsid w:val="613F376B"/>
    <w:rsid w:val="7E3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2023-10-08T11:20:00Z</dcterms:created>
  <dc:creator>Administrator</dc:creator>
  <cp:lastModifiedBy>裴国强</cp:lastModifiedBy>
  <cp:lastPrinted>2023-10-09T02:45:00Z</cp:lastPrinted>
  <dcterms:modified xsi:type="dcterms:W3CDTF">2023-10-09T09:30:05Z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A0A2BDBA55834FC78E832C44AE16BFC3_12</vt:lpwstr>
  </property>
</Properties>
</file>