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" w:tblpY="762"/>
        <w:tblOverlap w:val="never"/>
        <w:tblW w:w="1178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506"/>
        <w:gridCol w:w="525"/>
        <w:gridCol w:w="915"/>
        <w:gridCol w:w="2803"/>
        <w:gridCol w:w="1810"/>
        <w:gridCol w:w="5221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9" w:hRule="atLeast"/>
        </w:trPr>
        <w:tc>
          <w:tcPr>
            <w:tcW w:w="117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新疆维吾尔自治区涉企行政事业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（2023年1月1日更新）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8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5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8" w:hRule="atLeast"/>
        </w:trPr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中央立项（21项）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9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9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发改价格[2004]2831号、价费字〔1992〕240号、计价格[1994]783号、新计价费[2005]450号、新发改函〔2019〕102号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发改价格[2004]2831号、价费字〔1992〕240号、计价格[1994]783号、新计价费[2005]450号、新发改收费[2017]967号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02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国土资源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08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《土地管理法》《城市房地产管理法》、国发〔2008〕3号、新计价房[2001]500号、新财非税[2015]1号、财政部等六部委2019年第76号公告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44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《中华人民共和国水污染防治法》《城市排水和污水处理条例》、财税[2014]151号、发改价格[2015]119号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《城市市容和环境卫生管理条例》、国发〔2011〕9号、计价格[2002]872号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《城市道路管理条例》、建城[1993]410号、财税[2015]68号、新政办〔1999〕38号、新财非税[2015]23号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车辆通行费（限于政府还贷）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《公路法》《收费公路管理条例》、交公路发〔1994〕686号、新交综[2009]33号、新政函〔2010〕278号、新交综[2012]41号、新交综[2012]84号、新交综[2019]68号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3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92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无线电频率占用费（非手机用户）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〔1994〕116号、新价非字〔1998〕19号、新计价费[2002]900号、新发改收费[2017]967号、新发改函〔2019〕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7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1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法》《取水许可和水资源费征收管理条例》、财税[2016]2号、发改价格[2014]1959号、发改价格[2013]29号、财综[2011]19号、发改价格[2009]1779号，财综[2008]79号、价费字〔1992〕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8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4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价费字〔1992〕452号，发改价格[2015]2136号、新发改收费[2017]967号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7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7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卫生计生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31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7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中发〔2001〕9号、计价格[2000]474号、新计价房[2001]1410号、新财非税[2019]3号、财政部等六部委2019年第76号公告、财税〔2014〕77号，财税〔2019〕53号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17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质检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1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〔1992〕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8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食品药品监督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1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58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(1）补充申请注册费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(2）再注册费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(3）药品注册加急费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(1）首次注册费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(2）变更注册费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(3）延续注册费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0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(4）医疗器械产品注册加急费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TYyYmZhOTQzMGE1ZDcwNzNiYmZiMzdiMzJmYjIifQ=="/>
  </w:docVars>
  <w:rsids>
    <w:rsidRoot w:val="00000000"/>
    <w:rsid w:val="061C59A9"/>
    <w:rsid w:val="16517F6F"/>
    <w:rsid w:val="6627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2023-07-07T11:16:00Z</dcterms:created>
  <dc:creator>gejinyue</dc:creator>
  <cp:lastModifiedBy>裴国强</cp:lastModifiedBy>
  <dcterms:modified xsi:type="dcterms:W3CDTF">2023-12-01T10:05:05Z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A84225A89DCB4C989C3C24F7A9941F85_13</vt:lpwstr>
  </property>
</Properties>
</file>