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新疆塔城地区裕民县发展和改革委员会2021年度部门决算公开说明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32314"/>
      <w:bookmarkStart w:id="1" w:name="_Toc24028"/>
      <w:r>
        <w:rPr>
          <w:rFonts w:hint="eastAsia" w:ascii="黑体" w:hAnsi="黑体" w:eastAsia="黑体"/>
          <w:sz w:val="32"/>
          <w:szCs w:val="32"/>
        </w:rPr>
        <w:t>第一部分 部门单位概况</w:t>
      </w:r>
      <w:bookmarkEnd w:id="0"/>
      <w:bookmarkEnd w:id="1"/>
    </w:p>
    <w:p>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ind w:firstLine="640" w:firstLineChars="200"/>
        <w:rPr>
          <w:rFonts w:ascii="仿宋_GB2312" w:eastAsia="仿宋_GB2312"/>
          <w:sz w:val="32"/>
          <w:szCs w:val="32"/>
        </w:rPr>
      </w:pPr>
      <w:r>
        <w:rPr>
          <w:rFonts w:hint="eastAsia" w:ascii="仿宋_GB2312" w:eastAsia="仿宋_GB2312"/>
          <w:sz w:val="32"/>
          <w:szCs w:val="32"/>
        </w:rPr>
        <w:t>裕民县发展和改革委员会，挂裕民县粮食和物资储备局牌子，为裕民县人民政府工作部门。</w:t>
      </w:r>
      <w:r>
        <w:rPr>
          <w:rFonts w:hint="eastAsia" w:ascii="仿宋_GB2312" w:eastAsia="仿宋_GB2312"/>
          <w:sz w:val="32"/>
          <w:szCs w:val="32"/>
        </w:rPr>
        <w:br w:type="textWrapping"/>
      </w:r>
      <w:r>
        <w:rPr>
          <w:rFonts w:hint="eastAsia" w:ascii="仿宋_GB2312" w:eastAsia="仿宋_GB2312"/>
          <w:sz w:val="32"/>
          <w:szCs w:val="32"/>
        </w:rPr>
        <w:t xml:space="preserve">    （一）研究提出本县国民经济和社会发展战略、中长期规划，贯彻执行国家国民经济和社会发展方针、政策；统筹协调县域经济社会发展，研究分析县内外经济形势；提出国民经济发展、价格总水平调控，优化重大经济结构的目标、政策，提出综合运用各种经济手段和政策的建议；组织研究、协调实施重点专项规划，衔接、平衡各单位及主要行业的规划；受政府委托向县人大提交国民经济和社会发展计划报告。</w:t>
      </w:r>
      <w:r>
        <w:rPr>
          <w:rFonts w:hint="eastAsia" w:ascii="仿宋_GB2312" w:eastAsia="仿宋_GB2312"/>
          <w:sz w:val="32"/>
          <w:szCs w:val="32"/>
        </w:rPr>
        <w:br w:type="textWrapping"/>
      </w:r>
      <w:r>
        <w:rPr>
          <w:rFonts w:hint="eastAsia" w:ascii="仿宋_GB2312" w:eastAsia="仿宋_GB2312"/>
          <w:sz w:val="32"/>
          <w:szCs w:val="32"/>
        </w:rPr>
        <w:t xml:space="preserve">    （二）负责监测宏观经济和社会发展态势，承担预测预警和信息引导的责任；提出促进国民经济持续快速协调健康发展的措施建议；研究涉及本县经济安全及总体产业安全等重要问题并提出措施建议。</w:t>
      </w:r>
      <w:r>
        <w:rPr>
          <w:rFonts w:hint="eastAsia" w:ascii="仿宋_GB2312" w:eastAsia="仿宋_GB2312"/>
          <w:sz w:val="32"/>
          <w:szCs w:val="32"/>
        </w:rPr>
        <w:br w:type="textWrapping"/>
      </w:r>
      <w:r>
        <w:rPr>
          <w:rFonts w:hint="eastAsia" w:ascii="仿宋_GB2312" w:eastAsia="仿宋_GB2312"/>
          <w:sz w:val="32"/>
          <w:szCs w:val="32"/>
        </w:rPr>
        <w:t xml:space="preserve">    （三）负责汇总分析财政、金融、产业、价格政策等方面的情况和执行效果，提出措施建议；组织实施价格政策；制定和调整政府管理的重要商品价格、服务价格和收费项目、标准；发布重大价格信息，规范市场价格行为等。</w:t>
      </w:r>
      <w:r>
        <w:rPr>
          <w:rFonts w:hint="eastAsia" w:ascii="仿宋_GB2312" w:eastAsia="仿宋_GB2312"/>
          <w:sz w:val="32"/>
          <w:szCs w:val="32"/>
        </w:rPr>
        <w:br w:type="textWrapping"/>
      </w:r>
      <w:r>
        <w:rPr>
          <w:rFonts w:hint="eastAsia" w:ascii="仿宋_GB2312" w:eastAsia="仿宋_GB2312"/>
          <w:sz w:val="32"/>
          <w:szCs w:val="32"/>
        </w:rPr>
        <w:t xml:space="preserve">    （四）承担指导推进和综合协调经济体制改革的责任。   </w:t>
      </w:r>
      <w:r>
        <w:rPr>
          <w:rFonts w:hint="eastAsia" w:ascii="仿宋_GB2312" w:eastAsia="仿宋_GB2312"/>
          <w:sz w:val="32"/>
          <w:szCs w:val="32"/>
        </w:rPr>
        <w:br w:type="textWrapping"/>
      </w:r>
      <w:r>
        <w:rPr>
          <w:rFonts w:hint="eastAsia" w:ascii="仿宋_GB2312" w:eastAsia="仿宋_GB2312"/>
          <w:sz w:val="32"/>
          <w:szCs w:val="32"/>
        </w:rPr>
        <w:t xml:space="preserve">    （五）承担规划重大建设项目和生产力布局的责任，研究提出本县全社会固定资产投资总规模和投资结构的目标政策及措施，规划重大项目和生产力布局；衔接平衡需要中央财政、自治区财政、地区财政、县财政投资和涉及重大建设项目的专项规划；编制、下达固定资产投资计划、重点项目建设计划和前期项目计划；负责重大项目的管理和组织协调；安排县财政预算内建设资金，引导社会投资方向；按照管理权限，负责审核上报、审批、核准、备案固定资产投资项目，审查、审批项目初步设计；组织实施本县固定资产投资项目节能评估审查工作；指导和协调本县招投标工作；会同有关部门对重大项目招投标活动进行监督管理。 </w:t>
      </w:r>
      <w:r>
        <w:rPr>
          <w:rFonts w:hint="eastAsia" w:ascii="仿宋_GB2312" w:eastAsia="仿宋_GB2312"/>
          <w:sz w:val="32"/>
          <w:szCs w:val="32"/>
        </w:rPr>
        <w:br w:type="textWrapping"/>
      </w:r>
      <w:r>
        <w:rPr>
          <w:rFonts w:hint="eastAsia" w:ascii="仿宋_GB2312" w:eastAsia="仿宋_GB2312"/>
          <w:sz w:val="32"/>
          <w:szCs w:val="32"/>
        </w:rPr>
        <w:t xml:space="preserve">    （六）推进产业结构战略性调整和升级。  </w:t>
      </w:r>
      <w:r>
        <w:rPr>
          <w:rFonts w:hint="eastAsia" w:ascii="仿宋_GB2312" w:eastAsia="仿宋_GB2312"/>
          <w:sz w:val="32"/>
          <w:szCs w:val="32"/>
        </w:rPr>
        <w:br w:type="textWrapping"/>
      </w:r>
      <w:r>
        <w:rPr>
          <w:rFonts w:hint="eastAsia" w:ascii="仿宋_GB2312" w:eastAsia="仿宋_GB2312"/>
          <w:sz w:val="32"/>
          <w:szCs w:val="32"/>
        </w:rPr>
        <w:t xml:space="preserve">    （七）承担重要商品宏观调控的责任，研究分析市场供求状况。 </w:t>
      </w:r>
      <w:r>
        <w:rPr>
          <w:rFonts w:hint="eastAsia" w:ascii="仿宋_GB2312" w:eastAsia="仿宋_GB2312"/>
          <w:sz w:val="32"/>
          <w:szCs w:val="32"/>
        </w:rPr>
        <w:br w:type="textWrapping"/>
      </w:r>
      <w:r>
        <w:rPr>
          <w:rFonts w:hint="eastAsia" w:ascii="仿宋_GB2312" w:eastAsia="仿宋_GB2312"/>
          <w:sz w:val="32"/>
          <w:szCs w:val="32"/>
        </w:rPr>
        <w:t xml:space="preserve">    （八）负责全县社会发展与国民经济发展的政策衔接，组织拟订社会发展战略、总体规划。 </w:t>
      </w:r>
      <w:r>
        <w:rPr>
          <w:rFonts w:hint="eastAsia" w:ascii="仿宋_GB2312" w:eastAsia="仿宋_GB2312"/>
          <w:sz w:val="32"/>
          <w:szCs w:val="32"/>
        </w:rPr>
        <w:br w:type="textWrapping"/>
      </w:r>
      <w:r>
        <w:rPr>
          <w:rFonts w:hint="eastAsia" w:ascii="仿宋_GB2312" w:eastAsia="仿宋_GB2312"/>
          <w:sz w:val="32"/>
          <w:szCs w:val="32"/>
        </w:rPr>
        <w:t xml:space="preserve">    （九）推进可持续发展战略，负责本县全社会节能监察综合协调工作。 </w:t>
      </w:r>
      <w:r>
        <w:rPr>
          <w:rFonts w:hint="eastAsia" w:ascii="仿宋_GB2312" w:eastAsia="仿宋_GB2312"/>
          <w:sz w:val="32"/>
          <w:szCs w:val="32"/>
        </w:rPr>
        <w:br w:type="textWrapping"/>
      </w:r>
      <w:r>
        <w:rPr>
          <w:rFonts w:hint="eastAsia" w:ascii="仿宋_GB2312" w:eastAsia="仿宋_GB2312"/>
          <w:sz w:val="32"/>
          <w:szCs w:val="32"/>
        </w:rPr>
        <w:t xml:space="preserve">    （十）研究全县国民经济和社会发展以及经济体制改革和对外开放的有关措施建议。</w:t>
      </w:r>
      <w:r>
        <w:rPr>
          <w:rFonts w:hint="eastAsia" w:ascii="仿宋_GB2312" w:eastAsia="仿宋_GB2312"/>
          <w:sz w:val="32"/>
          <w:szCs w:val="32"/>
        </w:rPr>
        <w:br w:type="textWrapping"/>
      </w:r>
      <w:r>
        <w:rPr>
          <w:rFonts w:hint="eastAsia" w:ascii="仿宋_GB2312" w:eastAsia="仿宋_GB2312"/>
          <w:sz w:val="32"/>
          <w:szCs w:val="32"/>
        </w:rPr>
        <w:t xml:space="preserve">    （十一）贯彻执行国家、自治区、地区粮食和物资储备的方针政策和法律法规，拟定粮食流通、地方储备粮油和物资储备管理的实施意见。  </w:t>
      </w:r>
      <w:r>
        <w:rPr>
          <w:rFonts w:hint="eastAsia" w:ascii="仿宋_GB2312" w:eastAsia="仿宋_GB2312"/>
          <w:sz w:val="32"/>
          <w:szCs w:val="32"/>
        </w:rPr>
        <w:br w:type="textWrapping"/>
      </w:r>
      <w:r>
        <w:rPr>
          <w:rFonts w:hint="eastAsia" w:ascii="仿宋_GB2312" w:eastAsia="仿宋_GB2312"/>
          <w:sz w:val="32"/>
          <w:szCs w:val="32"/>
        </w:rPr>
        <w:t xml:space="preserve">    （十二）研究提出地方储备粮油和物资储备规划、储备品种目录的建议，落实有关动用计划和指令。 </w:t>
      </w:r>
      <w:r>
        <w:rPr>
          <w:rFonts w:hint="eastAsia" w:ascii="仿宋_GB2312" w:eastAsia="仿宋_GB2312"/>
          <w:sz w:val="32"/>
          <w:szCs w:val="32"/>
        </w:rPr>
        <w:br w:type="textWrapping"/>
      </w:r>
      <w:r>
        <w:rPr>
          <w:rFonts w:hint="eastAsia" w:ascii="仿宋_GB2312" w:eastAsia="仿宋_GB2312"/>
          <w:sz w:val="32"/>
          <w:szCs w:val="32"/>
        </w:rPr>
        <w:t xml:space="preserve">    （十三）负责地方储备粮油行政管理工作、粮食流通行政管理。</w:t>
      </w:r>
      <w:r>
        <w:rPr>
          <w:rFonts w:hint="eastAsia" w:ascii="仿宋_GB2312" w:eastAsia="仿宋_GB2312"/>
          <w:sz w:val="32"/>
          <w:szCs w:val="32"/>
        </w:rPr>
        <w:br w:type="textWrapping"/>
      </w:r>
      <w:r>
        <w:rPr>
          <w:rFonts w:hint="eastAsia" w:ascii="仿宋_GB2312" w:eastAsia="仿宋_GB2312"/>
          <w:sz w:val="32"/>
          <w:szCs w:val="32"/>
        </w:rPr>
        <w:t xml:space="preserve">    （十四）组织实施国家粮食和物资储备仓储管理有关技术标准和规范，指导粮食流通和物资储备承储单位安全生产工作。</w:t>
      </w:r>
      <w:r>
        <w:rPr>
          <w:rFonts w:hint="eastAsia" w:ascii="仿宋_GB2312" w:eastAsia="仿宋_GB2312"/>
          <w:sz w:val="32"/>
          <w:szCs w:val="32"/>
        </w:rPr>
        <w:br w:type="textWrapping"/>
      </w:r>
      <w:r>
        <w:rPr>
          <w:rFonts w:hint="eastAsia" w:ascii="仿宋_GB2312" w:eastAsia="仿宋_GB2312"/>
          <w:sz w:val="32"/>
          <w:szCs w:val="32"/>
        </w:rPr>
        <w:t xml:space="preserve">    （十五）根据粮食和物资储备总体发展规划，统一负责储备基础设施建设和管理。  </w:t>
      </w:r>
      <w:r>
        <w:rPr>
          <w:rFonts w:hint="eastAsia" w:ascii="仿宋_GB2312" w:eastAsia="仿宋_GB2312"/>
          <w:sz w:val="32"/>
          <w:szCs w:val="32"/>
        </w:rPr>
        <w:br w:type="textWrapping"/>
      </w:r>
      <w:r>
        <w:rPr>
          <w:rFonts w:hint="eastAsia" w:ascii="仿宋_GB2312" w:eastAsia="仿宋_GB2312"/>
          <w:sz w:val="32"/>
          <w:szCs w:val="32"/>
        </w:rPr>
        <w:t xml:space="preserve">    （十六）完成县委、县人民政府及上级主管部门交办的其他工作任务。</w:t>
      </w:r>
    </w:p>
    <w:p>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rPr>
          <w:rFonts w:ascii="仿宋_GB2312" w:eastAsia="仿宋_GB2312"/>
          <w:sz w:val="32"/>
          <w:szCs w:val="32"/>
        </w:rPr>
      </w:pPr>
      <w:r>
        <w:rPr>
          <w:rFonts w:hint="eastAsia" w:ascii="仿宋_GB2312" w:eastAsia="仿宋_GB2312"/>
          <w:sz w:val="32"/>
          <w:szCs w:val="32"/>
        </w:rPr>
        <w:t>新疆塔城地区裕民县发展和改革委员会2021年度，实有人数44人，其中：在职人员20人，离休人员0人，退休人员24人。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塔城地区裕民县发展和改革委员会部门决算包括：新疆塔城地区裕民县发展和改革委员会决算。单位无下属预算单位，下设5个处室，分别是：财务室、粮食和物资储备管理科、项目服务中心、对口援疆办公室、价格服务中心。</w:t>
      </w:r>
    </w:p>
    <w:p>
      <w:pPr>
        <w:ind w:firstLine="640" w:firstLineChars="200"/>
        <w:rPr>
          <w:rFonts w:ascii="仿宋_GB2312" w:eastAsia="仿宋_GB2312"/>
          <w:sz w:val="32"/>
          <w:szCs w:val="32"/>
        </w:rPr>
      </w:pPr>
    </w:p>
    <w:p>
      <w:pPr>
        <w:rPr>
          <w:rFonts w:ascii="仿宋_GB2312" w:eastAsia="仿宋_GB2312"/>
          <w:sz w:val="32"/>
          <w:szCs w:val="32"/>
        </w:rPr>
      </w:pPr>
      <w:r>
        <w:rPr>
          <w:rFonts w:hint="eastAsia" w:ascii="仿宋_GB2312" w:eastAsia="仿宋_GB2312"/>
          <w:sz w:val="32"/>
          <w:szCs w:val="32"/>
        </w:rPr>
        <w:br w:type="page"/>
      </w:r>
    </w:p>
    <w:p>
      <w:pPr>
        <w:ind w:left="1680" w:firstLine="420"/>
        <w:outlineLvl w:val="0"/>
        <w:rPr>
          <w:rFonts w:ascii="黑体" w:hAnsi="黑体" w:eastAsia="黑体"/>
          <w:sz w:val="32"/>
          <w:szCs w:val="32"/>
        </w:rPr>
      </w:pPr>
      <w:r>
        <w:rPr>
          <w:rFonts w:hint="eastAsia" w:ascii="黑体" w:hAnsi="黑体" w:eastAsia="黑体"/>
          <w:sz w:val="32"/>
          <w:szCs w:val="32"/>
        </w:rPr>
        <w:t>第二部分 部门决算情况说明</w:t>
      </w:r>
    </w:p>
    <w:p>
      <w:pPr>
        <w:ind w:firstLine="640" w:firstLineChars="200"/>
        <w:outlineLvl w:val="1"/>
        <w:rPr>
          <w:rFonts w:ascii="黑体" w:hAnsi="黑体" w:eastAsia="黑体" w:cs="宋体"/>
          <w:bCs/>
          <w:kern w:val="0"/>
          <w:sz w:val="32"/>
          <w:szCs w:val="32"/>
        </w:rPr>
      </w:pPr>
      <w:bookmarkStart w:id="6" w:name="_Toc12566"/>
      <w:bookmarkStart w:id="7" w:name="_Toc25314"/>
      <w:r>
        <w:rPr>
          <w:rFonts w:hint="eastAsia" w:ascii="黑体" w:hAnsi="黑体" w:eastAsia="黑体" w:cs="宋体"/>
          <w:bCs/>
          <w:kern w:val="0"/>
          <w:sz w:val="32"/>
          <w:szCs w:val="32"/>
        </w:rPr>
        <w:t>一、收入支出决算总体情况说明</w:t>
      </w:r>
      <w:bookmarkEnd w:id="6"/>
      <w:bookmarkEnd w:id="7"/>
    </w:p>
    <w:p>
      <w:pPr>
        <w:ind w:firstLine="640" w:firstLineChars="200"/>
        <w:rPr>
          <w:rFonts w:ascii="仿宋_GB2312" w:eastAsia="仿宋_GB2312"/>
          <w:sz w:val="32"/>
          <w:szCs w:val="32"/>
        </w:rPr>
      </w:pPr>
      <w:r>
        <w:rPr>
          <w:rFonts w:hint="eastAsia" w:ascii="仿宋_GB2312" w:eastAsia="仿宋_GB2312"/>
          <w:sz w:val="32"/>
          <w:szCs w:val="32"/>
        </w:rPr>
        <w:t>2021年度本年收入362.01万元，与上年相比，减少176.87万元，降低32.82%，主要原因是：上年有粮油收储公司粮食产后服务中心建设项目、裕民县粮食质量安全检验监测中心建设项目资金及死亡人员抚恤金。本年支出364.42万元，与上年相比，减少193.35万元，降低34.66%，主要原因是：上年有粮油收储公司粮食产后服务中心建设项目、裕民县粮食质量安全检验监测中心建设项目资金及死亡人员抚恤金支出。</w:t>
      </w:r>
    </w:p>
    <w:p>
      <w:pPr>
        <w:ind w:firstLine="640" w:firstLineChars="200"/>
        <w:outlineLvl w:val="1"/>
        <w:rPr>
          <w:rFonts w:ascii="黑体" w:hAnsi="黑体" w:eastAsia="黑体" w:cs="宋体"/>
          <w:bCs/>
          <w:kern w:val="0"/>
          <w:sz w:val="32"/>
          <w:szCs w:val="32"/>
        </w:rPr>
      </w:pPr>
      <w:bookmarkStart w:id="8" w:name="_Toc12142"/>
      <w:bookmarkStart w:id="9" w:name="_Toc1979"/>
      <w:r>
        <w:rPr>
          <w:rFonts w:hint="eastAsia" w:ascii="黑体" w:hAnsi="黑体" w:eastAsia="黑体" w:cs="宋体"/>
          <w:bCs/>
          <w:kern w:val="0"/>
          <w:sz w:val="32"/>
          <w:szCs w:val="32"/>
        </w:rPr>
        <w:t>二、收入决算情况说明</w:t>
      </w:r>
      <w:bookmarkEnd w:id="8"/>
      <w:bookmarkEnd w:id="9"/>
    </w:p>
    <w:p>
      <w:pPr>
        <w:ind w:firstLine="640" w:firstLineChars="200"/>
        <w:rPr>
          <w:rFonts w:ascii="仿宋_GB2312" w:eastAsia="仿宋_GB2312"/>
          <w:sz w:val="32"/>
          <w:szCs w:val="32"/>
        </w:rPr>
      </w:pPr>
      <w:r>
        <w:rPr>
          <w:rFonts w:hint="eastAsia" w:ascii="仿宋_GB2312" w:eastAsia="仿宋_GB2312"/>
          <w:sz w:val="32"/>
          <w:szCs w:val="32"/>
        </w:rPr>
        <w:t>2021年度本年收入362.01万元，其中：财政拨款收入353.74万元，占97.72%；上级补助收入0.00万元，占0.00%；事业收入0.00万元，占0.00%；经营收入0.00万元，占0.00%；附属单位上缴收入0.00万元，占0.00%；其他收入8.27万元，占2.28%。</w:t>
      </w:r>
    </w:p>
    <w:p>
      <w:pPr>
        <w:ind w:firstLine="640" w:firstLineChars="200"/>
        <w:outlineLvl w:val="1"/>
        <w:rPr>
          <w:rFonts w:ascii="黑体" w:hAnsi="黑体" w:eastAsia="黑体" w:cs="宋体"/>
          <w:bCs/>
          <w:kern w:val="0"/>
          <w:sz w:val="32"/>
          <w:szCs w:val="32"/>
        </w:rPr>
      </w:pPr>
      <w:bookmarkStart w:id="10" w:name="_Toc13201"/>
      <w:bookmarkStart w:id="11" w:name="_Toc27961"/>
      <w:r>
        <w:rPr>
          <w:rFonts w:hint="eastAsia" w:ascii="黑体" w:hAnsi="黑体" w:eastAsia="黑体" w:cs="宋体"/>
          <w:bCs/>
          <w:kern w:val="0"/>
          <w:sz w:val="32"/>
          <w:szCs w:val="32"/>
        </w:rPr>
        <w:t>三、支出决算情况说明</w:t>
      </w:r>
      <w:bookmarkEnd w:id="10"/>
      <w:bookmarkEnd w:id="11"/>
    </w:p>
    <w:p>
      <w:pPr>
        <w:ind w:firstLine="640" w:firstLineChars="200"/>
        <w:rPr>
          <w:rFonts w:ascii="仿宋_GB2312" w:eastAsia="仿宋_GB2312"/>
          <w:sz w:val="32"/>
          <w:szCs w:val="32"/>
        </w:rPr>
      </w:pPr>
      <w:r>
        <w:rPr>
          <w:rFonts w:hint="eastAsia" w:ascii="仿宋_GB2312" w:eastAsia="仿宋_GB2312"/>
          <w:sz w:val="32"/>
          <w:szCs w:val="32"/>
        </w:rPr>
        <w:t>2021年度本年支出364.42万元，其中：基本支出324.50万元，占89.05%；项目支出39.92万元，占10.95%；上缴上级支出0.00万元，占0.00%；经营支出0.00万元，占0.00%；对附属单位补助支出0.00万元，占0.00%。</w:t>
      </w:r>
    </w:p>
    <w:p>
      <w:pPr>
        <w:ind w:firstLine="640" w:firstLineChars="200"/>
        <w:outlineLvl w:val="1"/>
        <w:rPr>
          <w:rFonts w:ascii="黑体" w:hAnsi="黑体" w:eastAsia="黑体" w:cs="宋体"/>
          <w:bCs/>
          <w:kern w:val="0"/>
          <w:sz w:val="32"/>
          <w:szCs w:val="32"/>
        </w:rPr>
      </w:pPr>
      <w:bookmarkStart w:id="12" w:name="_Toc4393"/>
      <w:bookmarkStart w:id="13" w:name="_Toc26564"/>
      <w:r>
        <w:rPr>
          <w:rFonts w:hint="eastAsia" w:ascii="黑体" w:hAnsi="黑体" w:eastAsia="黑体" w:cs="宋体"/>
          <w:bCs/>
          <w:kern w:val="0"/>
          <w:sz w:val="32"/>
          <w:szCs w:val="32"/>
        </w:rPr>
        <w:t>四、财政拨款收入支出决算总体情况说明</w:t>
      </w:r>
      <w:bookmarkEnd w:id="12"/>
      <w:bookmarkEnd w:id="13"/>
    </w:p>
    <w:p>
      <w:pPr>
        <w:ind w:firstLine="640" w:firstLineChars="200"/>
        <w:rPr>
          <w:rFonts w:ascii="仿宋_GB2312" w:eastAsia="仿宋_GB2312"/>
          <w:sz w:val="32"/>
          <w:szCs w:val="32"/>
        </w:rPr>
      </w:pPr>
      <w:r>
        <w:rPr>
          <w:rFonts w:hint="eastAsia" w:ascii="仿宋_GB2312" w:eastAsia="仿宋_GB2312"/>
          <w:sz w:val="32"/>
          <w:szCs w:val="32"/>
        </w:rPr>
        <w:t>2021年度财政拨款收入353.74万元，与上年相比，减少182.46万元，降低34.03%。主要原因是：上年有粮油收储公司粮食产后服务中心建设项目、裕民县粮食质量安全检验监测中心建设项目资金及死亡人员抚恤金。财政拨款支出353.74万元，与上年相比，减少188.46万元，降低34.76%，主要原因是：上年有粮油收储公司粮食产后服务中心建设项目、裕民县粮食质量安全检验监测中心建设项目资金及死亡人员抚恤金支出。</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与年初预算数相比情况：财政拨款收入年初预算数285.65万元，决算数353.74万元，预决算差异率23.84%，主要原因是：本年追加塔城开发开放试验区裕民分区规划编制费13.5</w:t>
      </w:r>
      <w:r>
        <w:rPr>
          <w:rFonts w:hint="eastAsia" w:ascii="仿宋_GB2312" w:eastAsia="仿宋_GB2312"/>
          <w:sz w:val="32"/>
          <w:szCs w:val="32"/>
          <w:lang w:val="en-US" w:eastAsia="zh-CN"/>
        </w:rPr>
        <w:t>0</w:t>
      </w:r>
      <w:r>
        <w:rPr>
          <w:rFonts w:hint="eastAsia" w:ascii="仿宋_GB2312" w:eastAsia="仿宋_GB2312"/>
          <w:sz w:val="32"/>
          <w:szCs w:val="32"/>
        </w:rPr>
        <w:t>万元、裕民县调峰储备项目LNG罐容租赁费0.64万元、转拨粮油收储公司民贸民品贴息28.7</w:t>
      </w:r>
      <w:r>
        <w:rPr>
          <w:rFonts w:hint="eastAsia" w:ascii="仿宋_GB2312" w:eastAsia="仿宋_GB2312"/>
          <w:sz w:val="32"/>
          <w:szCs w:val="32"/>
          <w:lang w:val="en-US" w:eastAsia="zh-CN"/>
        </w:rPr>
        <w:t>0</w:t>
      </w:r>
      <w:r>
        <w:rPr>
          <w:rFonts w:hint="eastAsia" w:ascii="仿宋_GB2312" w:eastAsia="仿宋_GB2312"/>
          <w:sz w:val="32"/>
          <w:szCs w:val="32"/>
        </w:rPr>
        <w:t>万元，追加2020年度绩效奖金、考核优秀奖金、精神文明奖金及本年增资指标。财政拨款支出年初预算数285.65万元，决算数353.74万元，预决算差异率23.84%，主要原因是：本年追加塔城开发开放试验区裕民分区规划编制费13.5</w:t>
      </w:r>
      <w:r>
        <w:rPr>
          <w:rFonts w:hint="eastAsia" w:ascii="仿宋_GB2312" w:eastAsia="仿宋_GB2312"/>
          <w:sz w:val="32"/>
          <w:szCs w:val="32"/>
          <w:lang w:val="en-US" w:eastAsia="zh-CN"/>
        </w:rPr>
        <w:t>0</w:t>
      </w:r>
      <w:r>
        <w:rPr>
          <w:rFonts w:hint="eastAsia" w:ascii="仿宋_GB2312" w:eastAsia="仿宋_GB2312"/>
          <w:sz w:val="32"/>
          <w:szCs w:val="32"/>
        </w:rPr>
        <w:t>万元、裕民县调峰储备项目LNG罐容租赁费0.64万元、转拨粮油收储公司民贸民品贴息28.7</w:t>
      </w:r>
      <w:r>
        <w:rPr>
          <w:rFonts w:hint="eastAsia" w:ascii="仿宋_GB2312" w:eastAsia="仿宋_GB2312"/>
          <w:sz w:val="32"/>
          <w:szCs w:val="32"/>
          <w:lang w:val="en-US" w:eastAsia="zh-CN"/>
        </w:rPr>
        <w:t>0</w:t>
      </w:r>
      <w:bookmarkStart w:id="52" w:name="_GoBack"/>
      <w:bookmarkEnd w:id="52"/>
      <w:r>
        <w:rPr>
          <w:rFonts w:hint="eastAsia" w:ascii="仿宋_GB2312" w:eastAsia="仿宋_GB2312"/>
          <w:sz w:val="32"/>
          <w:szCs w:val="32"/>
        </w:rPr>
        <w:t>万元，追加2020年度绩效奖金、考核优秀奖金、精神文明奖金及本年增资指标支出。</w:t>
      </w:r>
    </w:p>
    <w:p>
      <w:pPr>
        <w:ind w:firstLine="640" w:firstLineChars="200"/>
        <w:outlineLvl w:val="1"/>
        <w:rPr>
          <w:rFonts w:ascii="黑体" w:hAnsi="黑体" w:eastAsia="黑体" w:cs="宋体"/>
          <w:bCs/>
          <w:kern w:val="0"/>
          <w:sz w:val="32"/>
          <w:szCs w:val="32"/>
        </w:rPr>
      </w:pPr>
      <w:bookmarkStart w:id="14" w:name="_Toc13833"/>
      <w:bookmarkStart w:id="15" w:name="_Toc20360"/>
      <w:r>
        <w:rPr>
          <w:rFonts w:hint="eastAsia" w:ascii="黑体" w:hAnsi="黑体" w:eastAsia="黑体" w:cs="宋体"/>
          <w:bCs/>
          <w:kern w:val="0"/>
          <w:sz w:val="32"/>
          <w:szCs w:val="32"/>
        </w:rPr>
        <w:t>五、一般公共预算财政拨款支出决算情况说明</w:t>
      </w:r>
      <w:bookmarkEnd w:id="14"/>
      <w:bookmarkEnd w:id="15"/>
    </w:p>
    <w:p>
      <w:pPr>
        <w:ind w:firstLine="640" w:firstLineChars="200"/>
        <w:rPr>
          <w:rFonts w:ascii="仿宋_GB2312" w:eastAsia="仿宋_GB2312"/>
          <w:sz w:val="32"/>
          <w:szCs w:val="32"/>
        </w:rPr>
      </w:pPr>
      <w:r>
        <w:rPr>
          <w:rFonts w:hint="eastAsia" w:ascii="仿宋_GB2312" w:eastAsia="仿宋_GB2312"/>
          <w:sz w:val="32"/>
          <w:szCs w:val="32"/>
        </w:rPr>
        <w:t>2021年度一般公共预算财政拨款支出353.74万元。按功能分类科目项级科目公开，其中：</w:t>
      </w:r>
    </w:p>
    <w:p>
      <w:pPr>
        <w:rPr>
          <w:rFonts w:ascii="仿宋_GB2312" w:eastAsia="仿宋_GB2312"/>
          <w:b/>
          <w:bCs/>
          <w:sz w:val="32"/>
          <w:szCs w:val="32"/>
        </w:rPr>
      </w:pPr>
      <w:r>
        <w:rPr>
          <w:rFonts w:hint="eastAsia" w:ascii="仿宋_GB2312" w:eastAsia="仿宋_GB2312"/>
          <w:sz w:val="32"/>
          <w:szCs w:val="32"/>
        </w:rPr>
        <w:t xml:space="preserve">    2010401 行政运行241.56万元;</w:t>
      </w:r>
      <w:r>
        <w:rPr>
          <w:rFonts w:hint="eastAsia" w:ascii="仿宋_GB2312" w:eastAsia="仿宋_GB2312"/>
          <w:sz w:val="32"/>
          <w:szCs w:val="32"/>
        </w:rPr>
        <w:br w:type="textWrapping"/>
      </w:r>
      <w:r>
        <w:rPr>
          <w:rFonts w:hint="eastAsia" w:ascii="仿宋_GB2312" w:eastAsia="仿宋_GB2312"/>
          <w:sz w:val="32"/>
          <w:szCs w:val="32"/>
        </w:rPr>
        <w:t xml:space="preserve">    2010499 其他发展与改革事务支出3.42万元;</w:t>
      </w:r>
      <w:r>
        <w:rPr>
          <w:rFonts w:hint="eastAsia" w:ascii="仿宋_GB2312" w:eastAsia="仿宋_GB2312"/>
          <w:sz w:val="32"/>
          <w:szCs w:val="32"/>
        </w:rPr>
        <w:br w:type="textWrapping"/>
      </w:r>
      <w:r>
        <w:rPr>
          <w:rFonts w:hint="eastAsia" w:ascii="仿宋_GB2312" w:eastAsia="仿宋_GB2312"/>
          <w:sz w:val="32"/>
          <w:szCs w:val="32"/>
        </w:rPr>
        <w:t xml:space="preserve">    2080501 行政单位离退休26.43万元;</w:t>
      </w:r>
      <w:r>
        <w:rPr>
          <w:rFonts w:hint="eastAsia" w:ascii="仿宋_GB2312" w:eastAsia="仿宋_GB2312"/>
          <w:sz w:val="32"/>
          <w:szCs w:val="32"/>
        </w:rPr>
        <w:br w:type="textWrapping"/>
      </w:r>
      <w:r>
        <w:rPr>
          <w:rFonts w:hint="eastAsia" w:ascii="仿宋_GB2312" w:eastAsia="仿宋_GB2312"/>
          <w:sz w:val="32"/>
          <w:szCs w:val="32"/>
        </w:rPr>
        <w:t xml:space="preserve">    2080505 机关事业单位基本养老保险缴费支出22.04万元;</w:t>
      </w:r>
      <w:r>
        <w:rPr>
          <w:rFonts w:hint="eastAsia" w:ascii="仿宋_GB2312" w:eastAsia="仿宋_GB2312"/>
          <w:sz w:val="32"/>
          <w:szCs w:val="32"/>
        </w:rPr>
        <w:br w:type="textWrapping"/>
      </w:r>
      <w:r>
        <w:rPr>
          <w:rFonts w:hint="eastAsia" w:ascii="仿宋_GB2312" w:eastAsia="仿宋_GB2312"/>
          <w:sz w:val="32"/>
          <w:szCs w:val="32"/>
        </w:rPr>
        <w:t xml:space="preserve">    2101101 行政单位医疗12.89万元;</w:t>
      </w:r>
      <w:r>
        <w:rPr>
          <w:rFonts w:hint="eastAsia" w:ascii="仿宋_GB2312" w:eastAsia="仿宋_GB2312"/>
          <w:sz w:val="32"/>
          <w:szCs w:val="32"/>
        </w:rPr>
        <w:br w:type="textWrapping"/>
      </w:r>
      <w:r>
        <w:rPr>
          <w:rFonts w:hint="eastAsia" w:ascii="仿宋_GB2312" w:eastAsia="仿宋_GB2312"/>
          <w:sz w:val="32"/>
          <w:szCs w:val="32"/>
        </w:rPr>
        <w:t xml:space="preserve">    2101103 公务员医疗补助2.85万元;</w:t>
      </w:r>
      <w:r>
        <w:rPr>
          <w:rFonts w:hint="eastAsia" w:ascii="仿宋_GB2312" w:eastAsia="仿宋_GB2312"/>
          <w:sz w:val="32"/>
          <w:szCs w:val="32"/>
        </w:rPr>
        <w:br w:type="textWrapping"/>
      </w:r>
      <w:r>
        <w:rPr>
          <w:rFonts w:hint="eastAsia" w:ascii="仿宋_GB2312" w:eastAsia="仿宋_GB2312"/>
          <w:sz w:val="32"/>
          <w:szCs w:val="32"/>
        </w:rPr>
        <w:t xml:space="preserve">    2160219 民贸民品贷款贴息28.70万元;</w:t>
      </w:r>
      <w:r>
        <w:rPr>
          <w:rFonts w:hint="eastAsia" w:ascii="仿宋_GB2312" w:eastAsia="仿宋_GB2312"/>
          <w:sz w:val="32"/>
          <w:szCs w:val="32"/>
        </w:rPr>
        <w:br w:type="textWrapping"/>
      </w:r>
      <w:r>
        <w:rPr>
          <w:rFonts w:hint="eastAsia" w:ascii="仿宋_GB2312" w:eastAsia="仿宋_GB2312"/>
          <w:sz w:val="32"/>
          <w:szCs w:val="32"/>
        </w:rPr>
        <w:t xml:space="preserve">    2210201 住房公积金15.86万元。</w:t>
      </w:r>
    </w:p>
    <w:p>
      <w:pPr>
        <w:ind w:firstLine="640" w:firstLineChars="200"/>
        <w:outlineLvl w:val="1"/>
        <w:rPr>
          <w:rFonts w:ascii="黑体" w:hAnsi="黑体" w:eastAsia="黑体" w:cs="宋体"/>
          <w:bCs/>
          <w:kern w:val="0"/>
          <w:sz w:val="32"/>
          <w:szCs w:val="32"/>
        </w:rPr>
      </w:pPr>
      <w:bookmarkStart w:id="16" w:name="_Toc30870"/>
      <w:bookmarkStart w:id="17" w:name="_Toc11146"/>
      <w:r>
        <w:rPr>
          <w:rFonts w:hint="eastAsia" w:ascii="黑体" w:hAnsi="黑体" w:eastAsia="黑体" w:cs="宋体"/>
          <w:bCs/>
          <w:kern w:val="0"/>
          <w:sz w:val="32"/>
          <w:szCs w:val="32"/>
        </w:rPr>
        <w:t>六、一般公共预算财政拨款基本支出决算情况说明</w:t>
      </w:r>
      <w:bookmarkEnd w:id="16"/>
      <w:bookmarkEnd w:id="17"/>
    </w:p>
    <w:p>
      <w:pPr>
        <w:ind w:firstLine="640" w:firstLineChars="200"/>
        <w:rPr>
          <w:rFonts w:ascii="仿宋_GB2312" w:eastAsia="仿宋_GB2312"/>
          <w:sz w:val="32"/>
          <w:szCs w:val="32"/>
        </w:rPr>
      </w:pPr>
      <w:r>
        <w:rPr>
          <w:rFonts w:hint="eastAsia" w:ascii="仿宋_GB2312" w:eastAsia="仿宋_GB2312"/>
          <w:sz w:val="32"/>
          <w:szCs w:val="32"/>
        </w:rPr>
        <w:t>2021年度一般公共预算财政拨款基本支出321.62万元，其中：</w:t>
      </w:r>
    </w:p>
    <w:p>
      <w:pPr>
        <w:ind w:firstLine="640" w:firstLineChars="200"/>
        <w:rPr>
          <w:rFonts w:ascii="仿宋_GB2312" w:eastAsia="仿宋_GB2312"/>
          <w:sz w:val="32"/>
          <w:szCs w:val="32"/>
        </w:rPr>
      </w:pPr>
      <w:r>
        <w:rPr>
          <w:rFonts w:hint="eastAsia" w:ascii="仿宋_GB2312" w:eastAsia="仿宋_GB2312"/>
          <w:sz w:val="32"/>
          <w:szCs w:val="32"/>
        </w:rPr>
        <w:t>人员经费289.68万元，包括：基本工资69.41万元、津贴补贴82.55万元、奖金37.27万元、机关事业单位基本养老保险缴费22.04万元、职工基本医疗保险缴费12.89万元、公务员医疗补助缴费2.85万元、其他社会保障缴费0.43万元、住房公积金15.86万元、其他工资福利支出18.24万元、退休费5.20万元、生活补助1.71万元、医疗费补助21.22万元。</w:t>
      </w:r>
    </w:p>
    <w:p>
      <w:pPr>
        <w:ind w:firstLine="640" w:firstLineChars="200"/>
        <w:rPr>
          <w:rFonts w:ascii="仿宋_GB2312" w:eastAsia="仿宋_GB2312"/>
          <w:sz w:val="32"/>
          <w:szCs w:val="32"/>
        </w:rPr>
      </w:pPr>
      <w:r>
        <w:rPr>
          <w:rFonts w:hint="eastAsia" w:ascii="仿宋_GB2312" w:eastAsia="仿宋_GB2312"/>
          <w:sz w:val="32"/>
          <w:szCs w:val="32"/>
        </w:rPr>
        <w:t>公用经费31.94万元，包括：电费0.95万元、办公费1.74万元、水费0.05万元、邮电费2.05万元、取暖费2.44万元、差旅费0.74万元、维修（护）费0.26万元、培训费0.04万元、劳务费0.96万元、委托业务费18.50万元、工会经费2.47万元、福利费1.25万元、公务用车运行维护费0.50万元。</w:t>
      </w:r>
    </w:p>
    <w:p>
      <w:pPr>
        <w:ind w:firstLine="640" w:firstLineChars="200"/>
        <w:outlineLvl w:val="1"/>
        <w:rPr>
          <w:rFonts w:ascii="黑体" w:hAnsi="黑体" w:eastAsia="黑体" w:cs="宋体"/>
          <w:bCs/>
          <w:kern w:val="0"/>
          <w:sz w:val="32"/>
          <w:szCs w:val="32"/>
        </w:rPr>
      </w:pPr>
      <w:bookmarkStart w:id="18" w:name="_Toc7190"/>
      <w:bookmarkStart w:id="19" w:name="_Toc21518"/>
      <w:r>
        <w:rPr>
          <w:rFonts w:hint="eastAsia" w:ascii="黑体" w:hAnsi="黑体" w:eastAsia="黑体" w:cs="宋体"/>
          <w:bCs/>
          <w:kern w:val="0"/>
          <w:sz w:val="32"/>
          <w:szCs w:val="32"/>
        </w:rPr>
        <w:t>七、一般公共预算财政拨款“三公”经费支出决算情况说明</w:t>
      </w:r>
      <w:bookmarkEnd w:id="18"/>
      <w:bookmarkEnd w:id="19"/>
    </w:p>
    <w:p>
      <w:pPr>
        <w:ind w:firstLine="640" w:firstLineChars="200"/>
        <w:rPr>
          <w:rFonts w:ascii="仿宋_GB2312" w:eastAsia="仿宋_GB2312"/>
          <w:sz w:val="32"/>
          <w:szCs w:val="32"/>
        </w:rPr>
      </w:pPr>
      <w:r>
        <w:rPr>
          <w:rFonts w:hint="eastAsia" w:ascii="仿宋_GB2312" w:eastAsia="仿宋_GB2312"/>
          <w:sz w:val="32"/>
          <w:szCs w:val="32"/>
        </w:rPr>
        <w:t>2021年度一般公共预算“三公”经费支出决算0.50万元，比上年减少5.31万元，降低91.39%，主要原因是为贯彻落实过“紧日子”思想，大幅度压缩公务用车运行维护费。其中，因公出国（境）费支出0.00万元，占0.00%，比上年增加0.00万元，增长0.00%，主要原因是：我单位无因公出国（境）费用支出；公务用车购置及运行维护费支出0.50万元，占100%，比上年减少5.19万元，降低91.21%，主要原因是：为贯彻落实过“紧日子”思想，本年大幅度压缩公务用车运行维护费；公务接待费支出0.00万元，占0%，比上年减少0.12万元，降低100.00%，主要原因是：我单位本年无公务接待费用支出。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因公出国（境）费支出0.00万元，开支内容包括：本年无因公出国（境）支出。单位全年安排的因公出国（境）团组0个，因公出国（境）0人次。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0.50万元，其中，公务用车购置费0.00万元，公务用车运行维护费0.50万元。公务用车运行维护费开支内容包括公务用车运行维护费开支内容包括车辆保险、车辆维修、过路停车费。公务用车购置数0辆，公务用车保有量3辆。</w:t>
      </w:r>
    </w:p>
    <w:p>
      <w:pPr>
        <w:ind w:firstLine="640" w:firstLineChars="200"/>
        <w:rPr>
          <w:rFonts w:ascii="仿宋_GB2312" w:eastAsia="仿宋_GB2312"/>
          <w:sz w:val="32"/>
          <w:szCs w:val="32"/>
        </w:rPr>
      </w:pPr>
      <w:r>
        <w:rPr>
          <w:rFonts w:hint="eastAsia" w:ascii="仿宋_GB2312" w:eastAsia="仿宋_GB2312"/>
          <w:sz w:val="32"/>
          <w:szCs w:val="32"/>
        </w:rPr>
        <w:t>公务接待费0.00万元，开支内容包括本年无公务接待费支出。单位全年安排的国内公务接待0批次，0人次。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4.00万元，决算数0.50万元，预决算差异率-87.50%，主要原因是：本年无公务接待费支出，为贯彻落实过“紧日子”思想，大幅度压缩公务用车运行维护费支出。</w:t>
      </w:r>
      <w:r>
        <w:rPr>
          <w:rFonts w:hint="eastAsia" w:ascii="仿宋_GB2312" w:hAnsi="宋体" w:eastAsia="仿宋_GB2312" w:cs="宋体"/>
          <w:kern w:val="0"/>
          <w:sz w:val="32"/>
          <w:szCs w:val="32"/>
        </w:rPr>
        <w:t>其中：因公出国（境）费预算数0.00万元，决算数0.00万元，预决算差异率0.00%</w:t>
      </w:r>
      <w:r>
        <w:rPr>
          <w:rFonts w:hint="eastAsia" w:ascii="仿宋_GB2312" w:eastAsia="仿宋_GB2312"/>
          <w:sz w:val="32"/>
          <w:szCs w:val="32"/>
        </w:rPr>
        <w:t>，主要原因是：本单位无因公出国（境）费预算；</w:t>
      </w:r>
      <w:r>
        <w:rPr>
          <w:rFonts w:hint="eastAsia" w:ascii="仿宋_GB2312" w:hAnsi="宋体" w:eastAsia="仿宋_GB2312" w:cs="宋体"/>
          <w:kern w:val="0"/>
          <w:sz w:val="32"/>
          <w:szCs w:val="32"/>
        </w:rPr>
        <w:t>公务用车购置费预算数0.00万元，决算数0.00万元，预决算差异率0.00%</w:t>
      </w:r>
      <w:r>
        <w:rPr>
          <w:rFonts w:hint="eastAsia" w:ascii="仿宋_GB2312" w:eastAsia="仿宋_GB2312"/>
          <w:sz w:val="32"/>
          <w:szCs w:val="32"/>
        </w:rPr>
        <w:t>，主要原因是：本年无公务用车购置费预算；</w:t>
      </w:r>
      <w:r>
        <w:rPr>
          <w:rFonts w:hint="eastAsia" w:ascii="仿宋_GB2312" w:hAnsi="宋体" w:eastAsia="仿宋_GB2312" w:cs="宋体"/>
          <w:kern w:val="0"/>
          <w:sz w:val="32"/>
          <w:szCs w:val="32"/>
        </w:rPr>
        <w:t>公务用车运行费预算数4.00万元，决算数0.50万元，预决算差异率-87.50%</w:t>
      </w:r>
      <w:r>
        <w:rPr>
          <w:rFonts w:hint="eastAsia" w:ascii="仿宋_GB2312" w:eastAsia="仿宋_GB2312"/>
          <w:sz w:val="32"/>
          <w:szCs w:val="32"/>
        </w:rPr>
        <w:t>，主要原因是：为贯彻落实过“紧日子”思想，本年大幅度压缩公务用车运行维护费；</w:t>
      </w:r>
      <w:r>
        <w:rPr>
          <w:rFonts w:hint="eastAsia" w:ascii="仿宋_GB2312" w:hAnsi="宋体" w:eastAsia="仿宋_GB2312" w:cs="宋体"/>
          <w:kern w:val="0"/>
          <w:sz w:val="32"/>
          <w:szCs w:val="32"/>
        </w:rPr>
        <w:t>公务接待费预算数0.00万元，决算数0.00万元，预决算差异率0.00%</w:t>
      </w:r>
      <w:r>
        <w:rPr>
          <w:rFonts w:hint="eastAsia" w:ascii="仿宋_GB2312" w:eastAsia="仿宋_GB2312"/>
          <w:sz w:val="32"/>
          <w:szCs w:val="32"/>
        </w:rPr>
        <w:t>，主要原因是：本单位无公务接待费支出。</w:t>
      </w:r>
    </w:p>
    <w:p>
      <w:pPr>
        <w:ind w:firstLine="640" w:firstLineChars="200"/>
        <w:outlineLvl w:val="1"/>
        <w:rPr>
          <w:rFonts w:ascii="黑体" w:hAnsi="黑体" w:eastAsia="黑体" w:cs="宋体"/>
          <w:bCs/>
          <w:kern w:val="0"/>
          <w:sz w:val="32"/>
          <w:szCs w:val="32"/>
        </w:rPr>
      </w:pPr>
      <w:bookmarkStart w:id="20" w:name="_Toc5810"/>
      <w:bookmarkStart w:id="21" w:name="_Toc7927"/>
      <w:r>
        <w:rPr>
          <w:rFonts w:hint="eastAsia" w:ascii="黑体" w:hAnsi="黑体" w:eastAsia="黑体" w:cs="宋体"/>
          <w:bCs/>
          <w:kern w:val="0"/>
          <w:sz w:val="32"/>
          <w:szCs w:val="32"/>
        </w:rPr>
        <w:t>八、政府性基金预算收入支出决算情况说明</w:t>
      </w:r>
      <w:bookmarkEnd w:id="20"/>
      <w:bookmarkEnd w:id="21"/>
    </w:p>
    <w:p>
      <w:pPr>
        <w:ind w:firstLine="640" w:firstLineChars="200"/>
        <w:rPr>
          <w:rFonts w:ascii="仿宋_GB2312" w:eastAsia="仿宋_GB2312"/>
          <w:sz w:val="32"/>
          <w:szCs w:val="32"/>
        </w:rPr>
      </w:pPr>
      <w:r>
        <w:rPr>
          <w:rFonts w:hint="eastAsia" w:ascii="仿宋_GB2312" w:eastAsia="仿宋_GB2312"/>
          <w:sz w:val="32"/>
          <w:szCs w:val="32"/>
        </w:rPr>
        <w:t>我单位本年度无政府性基金预算财政拨款收入支出，政府性基金预算财政拨款收入支出决算表为空表。</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仿宋_GB2312" w:eastAsia="仿宋_GB2312"/>
          <w:sz w:val="32"/>
          <w:szCs w:val="32"/>
        </w:rPr>
      </w:pPr>
      <w:r>
        <w:rPr>
          <w:rFonts w:hint="eastAsia" w:ascii="仿宋_GB2312" w:eastAsia="仿宋_GB2312"/>
          <w:sz w:val="32"/>
          <w:szCs w:val="32"/>
        </w:rPr>
        <w:t>我单位本年度无国有资本经营预算财政拨款收入支出，国有资本经营预算财政拨款收入支出决算表为空表。</w:t>
      </w:r>
    </w:p>
    <w:p>
      <w:pPr>
        <w:ind w:firstLine="640" w:firstLineChars="200"/>
        <w:outlineLvl w:val="1"/>
        <w:rPr>
          <w:rFonts w:ascii="黑体" w:hAnsi="黑体" w:eastAsia="黑体" w:cs="宋体"/>
          <w:bCs/>
          <w:kern w:val="0"/>
          <w:sz w:val="32"/>
          <w:szCs w:val="32"/>
        </w:rPr>
      </w:pPr>
      <w:bookmarkStart w:id="22" w:name="_Toc1235"/>
      <w:bookmarkStart w:id="23" w:name="_Toc7314"/>
      <w:r>
        <w:rPr>
          <w:rFonts w:hint="eastAsia" w:ascii="黑体" w:hAnsi="黑体" w:eastAsia="黑体" w:cs="宋体"/>
          <w:bCs/>
          <w:kern w:val="0"/>
          <w:sz w:val="32"/>
          <w:szCs w:val="32"/>
        </w:rPr>
        <w:t>十、其他重要事项的情况说明</w:t>
      </w:r>
      <w:bookmarkEnd w:id="22"/>
      <w:bookmarkEnd w:id="23"/>
    </w:p>
    <w:p>
      <w:pPr>
        <w:ind w:firstLine="640" w:firstLineChars="200"/>
        <w:outlineLvl w:val="2"/>
        <w:rPr>
          <w:rFonts w:ascii="黑体" w:hAnsi="黑体" w:eastAsia="黑体"/>
          <w:sz w:val="32"/>
          <w:szCs w:val="32"/>
        </w:rPr>
      </w:pPr>
      <w:bookmarkStart w:id="24" w:name="_Toc14519"/>
      <w:bookmarkStart w:id="25" w:name="_Toc13105"/>
      <w:r>
        <w:rPr>
          <w:rFonts w:hint="eastAsia" w:ascii="黑体" w:hAnsi="黑体" w:eastAsia="黑体"/>
          <w:sz w:val="32"/>
          <w:szCs w:val="32"/>
        </w:rPr>
        <w:t>（一）机关运行经费支出情况</w:t>
      </w:r>
      <w:bookmarkEnd w:id="24"/>
      <w:bookmarkEnd w:id="25"/>
    </w:p>
    <w:p>
      <w:pPr>
        <w:ind w:firstLine="640" w:firstLineChars="200"/>
        <w:rPr>
          <w:rFonts w:ascii="仿宋_GB2312" w:eastAsia="仿宋_GB2312"/>
          <w:sz w:val="32"/>
          <w:szCs w:val="32"/>
        </w:rPr>
      </w:pPr>
      <w:r>
        <w:rPr>
          <w:rFonts w:hint="eastAsia" w:ascii="仿宋_GB2312" w:eastAsia="仿宋_GB2312"/>
          <w:sz w:val="32"/>
          <w:szCs w:val="32"/>
        </w:rPr>
        <w:t>2021年度新疆塔城地区裕民县发展和改革委员会（行政单位和参照公务员法管理事业单位）机关运行经费支出31.94万元，比上年减少11.75万元，降低26.89%，主要原因是本年公务运行维护费大幅压缩，且委托业务费支出较少。</w:t>
      </w:r>
    </w:p>
    <w:p>
      <w:pPr>
        <w:ind w:firstLine="640" w:firstLineChars="200"/>
        <w:outlineLvl w:val="2"/>
        <w:rPr>
          <w:rFonts w:ascii="黑体" w:hAnsi="黑体" w:eastAsia="黑体"/>
          <w:sz w:val="32"/>
          <w:szCs w:val="32"/>
        </w:rPr>
      </w:pPr>
      <w:bookmarkStart w:id="26" w:name="_Toc227"/>
      <w:bookmarkStart w:id="27" w:name="_Toc26704"/>
      <w:r>
        <w:rPr>
          <w:rFonts w:hint="eastAsia" w:ascii="黑体" w:hAnsi="黑体" w:eastAsia="黑体"/>
          <w:sz w:val="32"/>
          <w:szCs w:val="32"/>
        </w:rPr>
        <w:t>（二）政府采购情况</w:t>
      </w:r>
      <w:bookmarkEnd w:id="26"/>
      <w:bookmarkEnd w:id="27"/>
    </w:p>
    <w:p>
      <w:pPr>
        <w:ind w:firstLine="640" w:firstLineChars="200"/>
        <w:rPr>
          <w:rFonts w:ascii="仿宋_GB2312" w:eastAsia="仿宋_GB2312"/>
          <w:sz w:val="32"/>
          <w:szCs w:val="32"/>
        </w:rPr>
      </w:pPr>
      <w:r>
        <w:rPr>
          <w:rFonts w:hint="eastAsia" w:ascii="仿宋_GB2312" w:eastAsia="仿宋_GB2312"/>
          <w:sz w:val="32"/>
          <w:szCs w:val="32"/>
        </w:rPr>
        <w:t>2021年度政府采购支出总额2.09万元，其中：政府采购货物支出1.62万元、政府采购工程支出0.00万元、政府采购服务支出0.46万元。</w:t>
      </w:r>
    </w:p>
    <w:p>
      <w:pPr>
        <w:ind w:firstLine="640" w:firstLineChars="200"/>
        <w:rPr>
          <w:rFonts w:ascii="仿宋_GB2312" w:eastAsia="仿宋_GB2312"/>
          <w:sz w:val="32"/>
          <w:szCs w:val="32"/>
        </w:rPr>
      </w:pPr>
      <w:bookmarkStart w:id="28" w:name="_Toc8391"/>
      <w:bookmarkStart w:id="29" w:name="_Toc4591"/>
      <w:r>
        <w:rPr>
          <w:rFonts w:hint="eastAsia" w:ascii="仿宋_GB2312" w:eastAsia="仿宋_GB2312"/>
          <w:sz w:val="32"/>
          <w:szCs w:val="32"/>
        </w:rPr>
        <w:t>授予中小企业合同金额0.00万元，占政府采购支出总额的0%，其中：授予小微企业合同金额0.00万元，占政府采购支出总额的0.00%。</w:t>
      </w:r>
    </w:p>
    <w:p>
      <w:pPr>
        <w:ind w:firstLine="640" w:firstLineChars="200"/>
        <w:outlineLvl w:val="2"/>
        <w:rPr>
          <w:rFonts w:ascii="黑体" w:hAnsi="黑体" w:eastAsia="黑体"/>
          <w:sz w:val="32"/>
          <w:szCs w:val="32"/>
        </w:rPr>
      </w:pPr>
      <w:r>
        <w:rPr>
          <w:rFonts w:hint="eastAsia" w:ascii="黑体" w:hAnsi="黑体" w:eastAsia="黑体"/>
          <w:sz w:val="32"/>
          <w:szCs w:val="32"/>
        </w:rPr>
        <w:t>（三）国有资产占用情况说明</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截止2021年12月31日，单位共有房屋0.00（平方米），价值0.00万元。车辆3辆，价值58.91万元，其中：副部（省）级及以上领导用车0辆、主要领导干部用车0辆、机要通信用车0辆、应急保障用车0辆、执法执勤用车0辆、特种专业技术用车0辆、离退休干部用车0辆、其他用车3辆，其他用车主要是：用于业务用车；单位价值50万元以上通用设备0台（套）、单位价值100万元以上专用设备0台（套）。</w:t>
      </w:r>
    </w:p>
    <w:p>
      <w:pPr>
        <w:ind w:firstLine="640" w:firstLineChars="200"/>
        <w:outlineLvl w:val="1"/>
        <w:rPr>
          <w:rFonts w:ascii="黑体" w:hAnsi="黑体" w:eastAsia="黑体" w:cs="宋体"/>
          <w:bCs/>
          <w:kern w:val="0"/>
          <w:sz w:val="32"/>
          <w:szCs w:val="32"/>
        </w:rPr>
      </w:pPr>
      <w:bookmarkStart w:id="30" w:name="_Toc435"/>
      <w:bookmarkStart w:id="31" w:name="_Toc11283"/>
      <w:r>
        <w:rPr>
          <w:rFonts w:hint="eastAsia" w:ascii="黑体" w:hAnsi="黑体" w:eastAsia="黑体" w:cs="宋体"/>
          <w:bCs/>
          <w:kern w:val="0"/>
          <w:sz w:val="32"/>
          <w:szCs w:val="32"/>
        </w:rPr>
        <w:t>十一、预算绩效的情况说明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2021年度开展预算绩效评价项目4个，共涉及资金39.92万元。预算绩效管理取得的成效：一是强化绩效目标管理。编制预算时贯彻落实党中央、国务院的决策，自治区党委、自治区人民政府的安排部署和地委、行署、县委、政府的工作要求，分解细化各项工作任务，结合实际，全面设置部门和单位整体绩效目标。二是做好绩效运行监控，发现问题及时纠正，确保绩效目标如期保质保量实现，同时按预算绩效管理要求，切实提高预算执行效率。三是开展绩效评价和结果应用。对预算执行情况开展绩效评价。对预算执行情况以及政策实施效果开展绩效自评，评价结果报送本级财政部门。发现的问题及原因：一是年初公用经费不足。如：因在编人员较少，无法保障硬性支出，有时年底会出现交不起电费的情况，由职工垫交，次年报账；二是因工资调整、人员变动等导致的人员经费预算不够精准。下一步改进措施：一是加强学习，提高思想认识。组织单位财务人员认真学习《预算法》等相关法规、制度，提高单位领导对全面预算管理的重视程度，增强财务人员的预算意识。二是规范财务运行，加强预算支出管理。严格遵循“先有预算、后有支出”的原则，在资金支付管理方面，严格按照规定程序向财政部门申请用款，在财政部门批复的支出预算资金范围内申请使用一般预算支出经费。建立健全并认真执行各项资金使用管理制度，建立内部控制机制，资金使用严格履行审批程序，确保资金支出合法、真实。严格落实会计核算、报销审批制度，加强对资金使用环节的监督。具体项目自评情况附项目支出绩效自评表。</w:t>
      </w:r>
    </w:p>
    <w:p>
      <w:pPr>
        <w:rPr>
          <w:rFonts w:ascii="仿宋_GB2312" w:eastAsia="仿宋_GB2312"/>
          <w:sz w:val="32"/>
          <w:szCs w:val="32"/>
        </w:rPr>
      </w:pPr>
      <w:r>
        <w:rPr>
          <w:rFonts w:hint="eastAsia" w:ascii="仿宋_GB2312" w:eastAsia="仿宋_GB2312"/>
          <w:sz w:val="32"/>
          <w:szCs w:val="32"/>
        </w:rPr>
        <w:br w:type="page"/>
      </w:r>
    </w:p>
    <w:p>
      <w:pPr>
        <w:ind w:firstLine="640" w:firstLineChars="200"/>
        <w:jc w:val="center"/>
        <w:outlineLvl w:val="0"/>
        <w:rPr>
          <w:rFonts w:ascii="黑体" w:hAnsi="黑体" w:eastAsia="黑体"/>
          <w:sz w:val="32"/>
          <w:szCs w:val="32"/>
        </w:rPr>
      </w:pPr>
      <w:bookmarkStart w:id="32" w:name="_Toc3250"/>
      <w:bookmarkStart w:id="33" w:name="_Toc24143"/>
      <w:bookmarkStart w:id="34" w:name="_Toc22784"/>
      <w:bookmarkStart w:id="35" w:name="_Toc28903"/>
      <w:r>
        <w:rPr>
          <w:rFonts w:hint="eastAsia" w:ascii="黑体" w:hAnsi="黑体" w:eastAsia="黑体"/>
          <w:sz w:val="32"/>
          <w:szCs w:val="32"/>
        </w:rPr>
        <w:t>第三部分 专业名词解释</w:t>
      </w:r>
      <w:bookmarkEnd w:id="32"/>
      <w:bookmarkEnd w:id="33"/>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ascii="仿宋_GB2312" w:eastAsia="仿宋_GB2312"/>
          <w:sz w:val="32"/>
          <w:szCs w:val="32"/>
        </w:rPr>
      </w:pPr>
      <w:r>
        <w:rPr>
          <w:rFonts w:hint="eastAsia" w:ascii="仿宋_GB2312" w:eastAsia="仿宋_GB2312"/>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第四部分 部门决算报表（见附表）</w:t>
      </w:r>
      <w:bookmarkEnd w:id="34"/>
      <w:bookmarkEnd w:id="35"/>
    </w:p>
    <w:p>
      <w:pPr>
        <w:ind w:firstLine="640" w:firstLineChars="200"/>
        <w:outlineLvl w:val="1"/>
        <w:rPr>
          <w:rFonts w:ascii="黑体" w:hAnsi="黑体" w:eastAsia="黑体" w:cs="宋体"/>
          <w:bCs/>
          <w:kern w:val="0"/>
          <w:sz w:val="32"/>
          <w:szCs w:val="32"/>
        </w:rPr>
      </w:pPr>
      <w:bookmarkStart w:id="36" w:name="_Toc6062"/>
      <w:bookmarkStart w:id="37" w:name="_Toc2183"/>
      <w:r>
        <w:rPr>
          <w:rFonts w:hint="eastAsia" w:ascii="黑体" w:hAnsi="黑体" w:eastAsia="黑体" w:cs="宋体"/>
          <w:bCs/>
          <w:kern w:val="0"/>
          <w:sz w:val="32"/>
          <w:szCs w:val="32"/>
        </w:rPr>
        <w:t>一、《收入支出决算总表》</w:t>
      </w:r>
      <w:bookmarkEnd w:id="36"/>
      <w:bookmarkEnd w:id="37"/>
    </w:p>
    <w:p>
      <w:pPr>
        <w:ind w:firstLine="640" w:firstLineChars="200"/>
        <w:outlineLvl w:val="1"/>
        <w:rPr>
          <w:rFonts w:ascii="黑体" w:hAnsi="黑体" w:eastAsia="黑体" w:cs="宋体"/>
          <w:bCs/>
          <w:kern w:val="0"/>
          <w:sz w:val="32"/>
          <w:szCs w:val="32"/>
        </w:rPr>
      </w:pPr>
      <w:bookmarkStart w:id="38" w:name="_Toc24532"/>
      <w:bookmarkStart w:id="39" w:name="_Toc30364"/>
      <w:r>
        <w:rPr>
          <w:rFonts w:hint="eastAsia" w:ascii="黑体" w:hAnsi="黑体" w:eastAsia="黑体" w:cs="宋体"/>
          <w:bCs/>
          <w:kern w:val="0"/>
          <w:sz w:val="32"/>
          <w:szCs w:val="32"/>
        </w:rPr>
        <w:t>二、《收入决算表》</w:t>
      </w:r>
      <w:bookmarkEnd w:id="38"/>
      <w:bookmarkEnd w:id="39"/>
    </w:p>
    <w:p>
      <w:pPr>
        <w:ind w:firstLine="640" w:firstLineChars="200"/>
        <w:outlineLvl w:val="1"/>
        <w:rPr>
          <w:rFonts w:ascii="黑体" w:hAnsi="黑体" w:eastAsia="黑体" w:cs="宋体"/>
          <w:bCs/>
          <w:kern w:val="0"/>
          <w:sz w:val="32"/>
          <w:szCs w:val="32"/>
        </w:rPr>
      </w:pPr>
      <w:bookmarkStart w:id="40" w:name="_Toc21304"/>
      <w:bookmarkStart w:id="41" w:name="_Toc32434"/>
      <w:r>
        <w:rPr>
          <w:rFonts w:hint="eastAsia" w:ascii="黑体" w:hAnsi="黑体" w:eastAsia="黑体" w:cs="宋体"/>
          <w:bCs/>
          <w:kern w:val="0"/>
          <w:sz w:val="32"/>
          <w:szCs w:val="32"/>
        </w:rPr>
        <w:t>三、《支出决算表》</w:t>
      </w:r>
      <w:bookmarkEnd w:id="40"/>
      <w:bookmarkEnd w:id="41"/>
    </w:p>
    <w:p>
      <w:pPr>
        <w:ind w:firstLine="640" w:firstLineChars="200"/>
        <w:outlineLvl w:val="1"/>
        <w:rPr>
          <w:rFonts w:ascii="黑体" w:hAnsi="黑体" w:eastAsia="黑体" w:cs="宋体"/>
          <w:bCs/>
          <w:kern w:val="0"/>
          <w:sz w:val="32"/>
          <w:szCs w:val="32"/>
        </w:rPr>
      </w:pPr>
      <w:bookmarkStart w:id="42" w:name="_Toc28786"/>
      <w:bookmarkStart w:id="43" w:name="_Toc14238"/>
      <w:r>
        <w:rPr>
          <w:rFonts w:hint="eastAsia" w:ascii="黑体" w:hAnsi="黑体" w:eastAsia="黑体" w:cs="宋体"/>
          <w:bCs/>
          <w:kern w:val="0"/>
          <w:sz w:val="32"/>
          <w:szCs w:val="32"/>
        </w:rPr>
        <w:t>四、《财政拨款收入支出决算总表》</w:t>
      </w:r>
      <w:bookmarkEnd w:id="42"/>
      <w:bookmarkEnd w:id="43"/>
    </w:p>
    <w:p>
      <w:pPr>
        <w:ind w:firstLine="640" w:firstLineChars="200"/>
        <w:outlineLvl w:val="1"/>
        <w:rPr>
          <w:rFonts w:ascii="黑体" w:hAnsi="黑体" w:eastAsia="黑体" w:cs="宋体"/>
          <w:bCs/>
          <w:kern w:val="0"/>
          <w:sz w:val="32"/>
          <w:szCs w:val="32"/>
        </w:rPr>
      </w:pPr>
      <w:bookmarkStart w:id="44" w:name="_Toc10347"/>
      <w:bookmarkStart w:id="45" w:name="_Toc14869"/>
      <w:r>
        <w:rPr>
          <w:rFonts w:hint="eastAsia" w:ascii="黑体" w:hAnsi="黑体" w:eastAsia="黑体" w:cs="宋体"/>
          <w:bCs/>
          <w:kern w:val="0"/>
          <w:sz w:val="32"/>
          <w:szCs w:val="32"/>
        </w:rPr>
        <w:t>五、《一般公共预算财政拨款支出决算表》</w:t>
      </w:r>
      <w:bookmarkEnd w:id="44"/>
      <w:bookmarkEnd w:id="45"/>
    </w:p>
    <w:p>
      <w:pPr>
        <w:ind w:firstLine="640" w:firstLineChars="200"/>
        <w:outlineLvl w:val="1"/>
        <w:rPr>
          <w:rFonts w:ascii="黑体" w:hAnsi="黑体" w:eastAsia="黑体" w:cs="宋体"/>
          <w:bCs/>
          <w:kern w:val="0"/>
          <w:sz w:val="32"/>
          <w:szCs w:val="32"/>
        </w:rPr>
      </w:pPr>
      <w:bookmarkStart w:id="46" w:name="_Toc8884"/>
      <w:bookmarkStart w:id="47" w:name="_Toc5626"/>
      <w:r>
        <w:rPr>
          <w:rFonts w:hint="eastAsia" w:ascii="黑体" w:hAnsi="黑体" w:eastAsia="黑体" w:cs="宋体"/>
          <w:bCs/>
          <w:kern w:val="0"/>
          <w:sz w:val="32"/>
          <w:szCs w:val="32"/>
        </w:rPr>
        <w:t>六、《一般公共预算财政拨款基本支出决算表》</w:t>
      </w:r>
      <w:bookmarkEnd w:id="46"/>
      <w:bookmarkEnd w:id="47"/>
    </w:p>
    <w:p>
      <w:pPr>
        <w:ind w:firstLine="640" w:firstLineChars="200"/>
        <w:outlineLvl w:val="1"/>
        <w:rPr>
          <w:rFonts w:ascii="黑体" w:hAnsi="黑体" w:eastAsia="黑体" w:cs="宋体"/>
          <w:bCs/>
          <w:kern w:val="0"/>
          <w:sz w:val="32"/>
          <w:szCs w:val="32"/>
        </w:rPr>
      </w:pPr>
      <w:bookmarkStart w:id="48" w:name="_Toc32663"/>
      <w:bookmarkStart w:id="49" w:name="_Toc29106"/>
      <w:r>
        <w:rPr>
          <w:rFonts w:hint="eastAsia" w:ascii="黑体" w:hAnsi="黑体" w:eastAsia="黑体" w:cs="宋体"/>
          <w:bCs/>
          <w:kern w:val="0"/>
          <w:sz w:val="32"/>
          <w:szCs w:val="32"/>
        </w:rPr>
        <w:t>七、《一般公共预算财政拨款“三公”经费支出决算表》</w:t>
      </w:r>
      <w:bookmarkEnd w:id="48"/>
      <w:bookmarkEnd w:id="49"/>
    </w:p>
    <w:p>
      <w:pPr>
        <w:ind w:firstLine="640" w:firstLineChars="200"/>
        <w:outlineLvl w:val="1"/>
        <w:rPr>
          <w:rFonts w:ascii="黑体" w:hAnsi="黑体" w:eastAsia="黑体" w:cs="宋体"/>
          <w:bCs/>
          <w:kern w:val="0"/>
          <w:sz w:val="32"/>
          <w:szCs w:val="32"/>
        </w:rPr>
      </w:pPr>
      <w:bookmarkStart w:id="50" w:name="_Toc7643"/>
      <w:bookmarkStart w:id="51" w:name="_Toc5453"/>
      <w:r>
        <w:rPr>
          <w:rFonts w:hint="eastAsia" w:ascii="黑体" w:hAnsi="黑体" w:eastAsia="黑体" w:cs="宋体"/>
          <w:bCs/>
          <w:kern w:val="0"/>
          <w:sz w:val="32"/>
          <w:szCs w:val="32"/>
        </w:rPr>
        <w:t>八、《政府性基金预算财政拨款收入支出决算表》</w:t>
      </w:r>
      <w:bookmarkEnd w:id="50"/>
      <w:bookmarkEnd w:id="51"/>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d/Ew/XAQAAsAMAAA4AAAAAAAAAAQAgAAAA&#10;HgEAAGRycy9lMm9Eb2MueG1sUEsFBgAAAAAGAAYAWQEAAGcFAAAAAA==&#1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WMyZTUwOTVhYWZlY2FmMjU5NzQyMmRmMjQ5Nzk4NzEifQ=="/>
  </w:docVars>
  <w:rsids>
    <w:rsidRoot w:val="00BE140A"/>
    <w:rsid w:val="0016603E"/>
    <w:rsid w:val="00477AED"/>
    <w:rsid w:val="0059788C"/>
    <w:rsid w:val="005A3916"/>
    <w:rsid w:val="005F3CF0"/>
    <w:rsid w:val="006D6A1D"/>
    <w:rsid w:val="00AF3237"/>
    <w:rsid w:val="00B23EB7"/>
    <w:rsid w:val="00BE140A"/>
    <w:rsid w:val="00C6394E"/>
    <w:rsid w:val="00DD738D"/>
    <w:rsid w:val="00E66FA1"/>
    <w:rsid w:val="00F52CFC"/>
    <w:rsid w:val="00F81A49"/>
    <w:rsid w:val="00FF4ADE"/>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3B4784"/>
    <w:rsid w:val="233E5923"/>
    <w:rsid w:val="236A6149"/>
    <w:rsid w:val="23B146B9"/>
    <w:rsid w:val="240038BA"/>
    <w:rsid w:val="240A65B7"/>
    <w:rsid w:val="263D5951"/>
    <w:rsid w:val="265E582C"/>
    <w:rsid w:val="26E147D1"/>
    <w:rsid w:val="27004B43"/>
    <w:rsid w:val="27B248A0"/>
    <w:rsid w:val="283F1644"/>
    <w:rsid w:val="287C6FB4"/>
    <w:rsid w:val="28B4796C"/>
    <w:rsid w:val="29770D57"/>
    <w:rsid w:val="29A000F0"/>
    <w:rsid w:val="29D21E13"/>
    <w:rsid w:val="2A053397"/>
    <w:rsid w:val="2A9F77D8"/>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49741F3"/>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D5B7B53"/>
    <w:rsid w:val="7D710817"/>
    <w:rsid w:val="7F8F3BEC"/>
    <w:rsid w:val="7FD64A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1169</Words>
  <Characters>6664</Characters>
  <Lines>55</Lines>
  <Paragraphs>15</Paragraphs>
  <TotalTime>6</TotalTime>
  <ScaleCrop>false</ScaleCrop>
  <LinksUpToDate>false</LinksUpToDate>
  <CharactersWithSpaces>7818</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2023-09-19T08:47:00Z</dcterms:created>
  <dc:creator>GXR</dc:creator>
  <cp:lastModifiedBy>钱琳</cp:lastModifiedBy>
  <dcterms:modified xsi:type="dcterms:W3CDTF">2023-09-19T10:57:29Z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58240A701613457BB24A0FE0F01EE863</vt:lpwstr>
  </property>
</Properties>
</file>