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新疆塔城地区裕民县委宣传部</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1、负责指导全县理论学习、理论宣传、理论研讨工作；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2、负责引导社会舆论，指导和协调新闻，文化、广播、电视等方面的工作。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3、负责规划、部署全县思想政治工作任务和群众性精神文明创建工作，配合县委组织部做好党员教育工作，会同有关部门研究和改进群众思想教育工作；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4、负责对外宣传工作的组织，指导、协调；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5、负责提出全县宣传文化事业发展的指导方针，负责宣传思想工作的监督检查，及时向县委反映重要情况并提出建议；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6、协调宣传文化系统各单位之间的关系；</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7、指导我县精神文明建设指导委员会办公室的工作；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8、指导我县广播电视局的工作；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9、协调指导我县文体局的工作；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10、文明办负责全县精神文明建设工作的总体规划，部署群众性的社会主义精神文明创建活动，从宏观上指导精神文化产品的生产，全面培养和提高群众的文明素质。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11、完成县委交办的其他任务。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新疆塔城地区裕民县委宣传部2021年度，实有人数18人，其中：在职人员15人，离休人员0人，退休人员3人。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从部门决算单位构成看，新疆塔城地区裕民县委宣传部部门决算包括：新疆塔城地区裕民县委宣传部决算。单位无下属预算单位，下设3个处室，分别是：办公室、财务室、领导办公室。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2021年度本年收入226.73万元，与上年相比，减少25.78万元，降低10.21%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2021年我单位控制公用经费支出，所以较上年收入有所减少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本年支出226.73万元，与上年相比，减少25.78万元，降低10.21%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2021年我单位控制公用经费支出，节约各项支出，所以支出较上年有所减少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226.73万元，其中：财政拨款收入226.73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2021年度本年支出226.73万元，其中：基本支出221.79万元，占97.82%；项目支出4.94万元，占2.18%；上缴上级支出0.00万元，占0.00%；经营支出0.00万元，占0.00%；对附属单位补助支出0.00万元，占0.00%。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2021年度财政拨款收入226.73万元，与上年相比，减少14.65万元，降低6.07%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我单位2021年减少专项收入，减少公用经费支出，所以财政收入较20年有所减少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财政拨款支出226.73万元，与上年相比，减少14.65万元，降低6.07%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我单位2021年减少专项支出，公用经费支出压缩，所以本年财政拨款支出较20年有所减少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与年初预算数相比情况：财政拨款收入年初预算数205.42万元，决算数226.73万元，预决算差异率10.37%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年初预算中不含年中追加的专项经费，21年考入事业编一名，人员较上年有所调整，导致年中有追加经费，所以存在预决算有所差异</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财政拨款支出年初预算数205.42万元，决算数226.73万元，预决算差异率10.37%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年初预算中不含年中追加的专项经费，21年考入事业编一名，人员较上年有所调整所以导致年中有所追加经费，支出数预决算有所差异</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2021年度一般公共预算财政拨款支出226.73万元。按功能分类科目项级科目公开，其中：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2013301 行政运行176.93万元;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行政单位离退休3.42万元;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机关事业单位基本养老保险缴费支出17.46万元;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行政单位医疗10.20万元;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公务员医疗补助1.21万元;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住房公积金12.56万元;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其他支出4.94万元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2021年度一般公共预算财政拨款基本支出221.79万元，其中：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人员经费195.16万元，包括：基本工资60.45万元、津贴补贴63.62万元、奖金25.64万元、机关事业单位基本养</w:t>
      </w:r>
      <w:bookmarkStart w:id="52" w:name="_GoBack"/>
      <w:bookmarkEnd w:id="52"/>
      <w:r>
        <w:rPr>
          <w:rFonts w:hint="eastAsia" w:ascii="仿宋_GB2312" w:eastAsia="仿宋_GB2312"/>
          <w:color w:val="auto"/>
          <w:sz w:val="32"/>
          <w:szCs w:val="32"/>
          <w:highlight w:val="none"/>
          <w:lang w:val="en-US" w:eastAsia="zh-CN"/>
        </w:rPr>
        <w:t>老保险缴费17.46万元、职工基本医疗保险缴费10.2万元、公务员医疗补助缴费1.21万元、其他社会保障缴费0.53万元、住房公积金12.56万元、退休费0.5万元、医疗费补助2.91万元、其他对个人和家庭的补助0.08万元。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公用经费26.63万元，包括：电费0.5万元、办公费6.67万元、印刷费10.43万元、邮电费1.78万元、差旅费0.53万元、工会经费2.09万元、福利费0.94万元、公务用车运行维护费3.69万元。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2021年度一般公共预算“三公”经费支出决算3.69万元，比上年减少0.52万元，降低12.35%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我单位21年减少公车运行经费支出，所以较20年有所降低</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我单位无此类业务，所以无变化</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公务用车购置及运行维护费支出3.69万元，占100%，比上年减少0.31万元，降低7.75%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我单位21年减少公车运行经费支出，所以较20年有所降低</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公务接待费支出0.00万元，占0%，比上年减少0.21万元，降低100.00%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我单位今年未发生接待，所以不存在支出，所以有所降低</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我单位无此类业务，所以无变化</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公务用车购置及运行维护费3.69万元，其中，公务用车购置费0.00万元，公务用车运行维护费3.69万元。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公车加油，公车维修维护费用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我单位21年不存在公务接待费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与年初预算数相比情况：一般公共预算“三公”经费支出年初预算数4.21万元，决算数3.69万元，预决算差异率-12.35%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我单位21年不存在公务接待费用，公车维护有所降低，所以预决算存在差异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我单位不存在因公出国（境）费用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我单位不存在公车购置费用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公务用车运行费预算数4.00万元，决算数3.69万元，预决算差异率-7.75%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我单位21年公车维修维护费用较20年有所降低，所以有所降低</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公务接待费预算数0.21万元，决算数0.00万元，预决算差异率-100.00%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我单位2021年不存在公务接待，未支出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2021年度新疆塔城地区裕民县委宣传部（行政单位和参照公务员法管理事业单位）机关运行经费支出26.62万元，比上年减少46.60万元，降低63.64%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我单位本年节约使用公用经费有所降低，所以存在差异</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2021年度政府采购支出总额5.33万元，其中：政府采购货物支出4.02万元、政府采购工程支出0.00万元、政府采购服务支出1.31万元。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授予中小企业合同金额5.33万元，占政府采购支出总额的100%，其中：授予小微企业合同金额2.22万元，占政府采购支出总额的41.65%。</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15.78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其他用车主要是业务用车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18.74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通过工作队经费项目的执行与推进全面保证了我县群众对于最新政策的知晓率，提高了人民群众的幸福感；二是通过舆论的引导来保障我县群众文化精神的指导作用，通过项目维护了社会的稳定和国家长治久安的目标，落实了惠民政策</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无法长久持续的将思想传达到人民的心中原因是人数多，覆盖率有限，人们自觉意识还非常薄弱；二是项目执行过程中资金的使用效率还不是非常高原因是资金支付虽然采取监控制度，但是监控时点有限无法确保每一笔资金都达到最高的效率</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一是持续从各个点位把群众的思想意识筑牢，尽最大效率保证人民思想意识的改变；二是制定更加科学合理的资金使用方案，以保证资金的最大效率</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1509A1"/>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E5C31FE"/>
    <w:rsid w:val="1F77716A"/>
    <w:rsid w:val="1F825A11"/>
    <w:rsid w:val="206034DD"/>
    <w:rsid w:val="20DF6845"/>
    <w:rsid w:val="233B4784"/>
    <w:rsid w:val="233E5923"/>
    <w:rsid w:val="236A6149"/>
    <w:rsid w:val="23B146B9"/>
    <w:rsid w:val="240038BA"/>
    <w:rsid w:val="240A65B7"/>
    <w:rsid w:val="25E441E3"/>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195C1B"/>
    <w:rsid w:val="42B76840"/>
    <w:rsid w:val="43316970"/>
    <w:rsid w:val="4421165A"/>
    <w:rsid w:val="44467526"/>
    <w:rsid w:val="44CF4655"/>
    <w:rsid w:val="45A87853"/>
    <w:rsid w:val="45AD0B65"/>
    <w:rsid w:val="46901EEE"/>
    <w:rsid w:val="469C74D2"/>
    <w:rsid w:val="46C7728A"/>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AF5641"/>
    <w:rsid w:val="4DD406E5"/>
    <w:rsid w:val="4DF31F55"/>
    <w:rsid w:val="4E535897"/>
    <w:rsid w:val="4F195BC9"/>
    <w:rsid w:val="4F714843"/>
    <w:rsid w:val="4FCE528B"/>
    <w:rsid w:val="5004002B"/>
    <w:rsid w:val="500A528D"/>
    <w:rsid w:val="50A55A86"/>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626E0"/>
    <w:rsid w:val="58FB4926"/>
    <w:rsid w:val="5A8C5C64"/>
    <w:rsid w:val="5B0A3C7C"/>
    <w:rsid w:val="5C145D5F"/>
    <w:rsid w:val="5C497361"/>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2367C3"/>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37</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