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新疆塔城地区裕民县哈拉布拉镇人民政府</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哈拉布拉镇人民政府是基层国家行政机关，属于行政机关性质。</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职责：（1）负责党的路线、方针、政策的贯彻落实。</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leftChars="0"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负责贯彻落实县委、政府作出的各项重要决议、决定和工作部署。</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抓好基层组织的建设，切实发挥基层党组织的战斗堡垒作用和党员先锋模范作用。</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贯彻党的民族政策和宗教政策，坚决打击民族分裂和非法宗教活动，维护国家统一，民族团结，社会稳定。（5）加强社会综合治理，加强法制教育，依法治乡，同时确保党对武装工作的领导。</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加强精神文明建设，为经济建设和各项事业的发展提供精神动力和智力支持。</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抓好工、青、妇工作，推动群众团体事业不断发展。（8）抓好党风廉政建设，贯彻执行县纪委各项决议和决定，做好全镇的纪检、检察工作。</w:t>
      </w:r>
    </w:p>
    <w:p>
      <w:pPr>
        <w:keepNext w:val="0"/>
        <w:keepLines w:val="0"/>
        <w:pageBreakBefore w:val="0"/>
        <w:widowControl w:val="0"/>
        <w:numPr>
          <w:ilvl w:val="0"/>
          <w:numId w:val="2"/>
        </w:numPr>
        <w:kinsoku/>
        <w:wordWrap/>
        <w:overflowPunct/>
        <w:topLinePunct w:val="0"/>
        <w:autoSpaceDE/>
        <w:autoSpaceDN/>
        <w:bidi w:val="0"/>
        <w:adjustRightInd w:val="0"/>
        <w:snapToGrid w:val="0"/>
        <w:spacing w:line="560" w:lineRule="exact"/>
        <w:ind w:leftChars="0"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负责制定本镇长期和近期的社会、经济、文化发展计划。</w:t>
      </w:r>
    </w:p>
    <w:p>
      <w:pPr>
        <w:keepNext w:val="0"/>
        <w:keepLines w:val="0"/>
        <w:pageBreakBefore w:val="0"/>
        <w:widowControl w:val="0"/>
        <w:numPr>
          <w:ilvl w:val="0"/>
          <w:numId w:val="2"/>
        </w:numPr>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大力发展科技、文化、教育、卫生、计划生育等事业，不断提高居民的思想道德素质、科学文化素质和生活质量。</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（11）抓好基层政权建设，保证镇政府及社区各项工作正常开展。</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（12）做好财政工作,管好、用好财政资金。</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（13）认真接受人大主席团的监督，并负责做好工作报告。</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（14）认真完成县委、政府交办的其他各项工作。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新疆塔城地区裕民县哈拉布拉镇人民政府2021年度，实有人数121人，其中：在职人员71人，离休人员0人，退休人员50人。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哈拉布拉镇人民政府部门决算包括：新疆塔城地区裕民县哈拉布拉镇人民政府决算。单位无下属预算单位，下设6个处室，分别是：哈拉布拉镇党群服务中心（文体广电旅游服务中心）、哈拉布拉镇社会保障（民政）服务中心（退役军人服务站）、哈拉布拉镇统计发展中心（财政所）、哈拉布拉镇综治中心（网格化服务中心）、哈拉布拉镇综合行政执法队、哈拉布拉镇社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2021年度本年收入1,693.88万元，与上年相比，减少294.02万元，降低14.79%</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财政拨款收入减少，专项经费减少，因此支出减少</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本年支出1,721.40万元，与上年相比，减少239.18万元，降低12.20%</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财政拨款收入减少，专项经费减少，因此支出减少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1,693.88万元，其中：财政拨款收入1,464.90万元，占86.48%；上级补助收入0.00万元，占0.00%；事业收入0.00万元，占0.00%；经营收入0.00万元，占0.00%；附属单位上缴收入0.00万元，占0.00%；其他收入228.98万元，占13.52%。</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2021年度本年支出1,721.40万元，其中：基本支出1,448.42万元，占84.14%；项目支出272.98万元，占15.86%；上缴上级支出0.00万元，占0.00%；经营支出0.00万元，占0.00%；对附属单位补助支出0.00万元，占0.00%。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2021年度财政拨款收入1,464.90万元，与上年相比，减少75.00万元，降低4.87%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财政拨款收入减少，</w:t>
      </w:r>
      <w:r>
        <w:rPr>
          <w:rFonts w:hint="eastAsia" w:ascii="仿宋_GB2312" w:eastAsia="仿宋_GB2312"/>
          <w:b w:val="0"/>
          <w:bCs w:val="0"/>
          <w:color w:val="auto"/>
          <w:sz w:val="32"/>
          <w:szCs w:val="32"/>
          <w:highlight w:val="none"/>
          <w:lang w:val="en-US" w:eastAsia="zh-CN"/>
        </w:rPr>
        <w:t>专项经费减少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财政拨款支出1,464.90万元，与上年相比，减少75.20万元，降低4.88%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专项经费支出减少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与年初预算数相比情况：财政拨款收入年初预算数1,262.67万元，决算数1,464.90万元，预决算差异率16.02%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人员增加、工资新增，支出增加，调整预算数</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财政拨款支出年初预算数1,262.67万元，决算数1,464.90万元，预决算差异率16.02%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人员增加、支出增加，调整预算数</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2021年度一般公共预算财政拨款支出1,464.90万元。按功能分类科目项级科目公开，其中：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2010301 行政运行474.89万元;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2010650 事业运行7.47万元;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2012901 行政运行456.94万元;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2013299 其他组织事务支出97.22万元;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2013399 其他宣传事务支出4.00万元;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2070199 其他文化和旅游支出5.50万元;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2070808 广播电视事务18.82万元;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2080150 事业运行59.45万元;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2080501 行政单位离退休54.21万元;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2080502 事业单位离退休7.80万元;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机关事业单位基本养老保险缴费支出80.66万元;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2080699 其他企业改革发展补助1.97万元;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2081199 其他残疾人事业支出39.05万元;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2100717 计划生育服务25.69万元;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2100799 其他计划生育事务支出11.29万元;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行政单位医疗16.27万元;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事业单位医疗33.96万元;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公务员医疗补助5.80万元;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住房公积金58.01万元;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2299999 其他支出5.90万元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2021年度一般公共预算财政拨款基本支出1,448.42万元，其中：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1,297.43万元，包括：基本工资285.24万元、津贴补贴346.75万元、奖金137.61万元、机关事业单位基本养老保险缴费95.86万元、职工基本医疗保险缴费58.79万元、公务员医疗补助缴费5.8万元、其他社会保障缴费3.22万元、住房公积金58.01万元、医疗费1.21万元、其他工资福利支出140.72万元、退休费8.89万元、抚恤金24.59万元、生活补助102.2万元、医疗费补助28.53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150.99万元，包括：办公费80.23万元、水费0.71万元、电费2.94万元、邮电费6.04万元、取暖费21.01万元、差旅费1.6万元、维修（护）费6.84万元、培训费0.03万元、劳务费9.65万元、工会经费3.79万元、福利费14.15万元、公务用车运行维护费4.01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2021年度一般公共预算“三公”经费支出决算4.01万元，比上年减少4.86万元，降低54.79%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压缩公用经费支出，减少公务用车使用</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公务用车购置及运行维护费支出4.01万元，占100%，比上年减少4.86万元，降低54.79%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压缩公用经费支出，减少公务用车使用</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单位无公务接待费支出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公务用车购置及运行维护费4.01万元，其中，公务用车购置费0.00万元，公务用车运行维护费4.01万元。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公务用车维修维护、加油、车辆保险等</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公务用车购置数0辆，公务用车保有量7辆。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没有此项费用</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与年初预算数相比情况：一般公共预算“三公”经费支出年初预算数4.01万元，决算数4.01万元，预决算差异率0.00%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本年三公经费支出年初预算数和决算数一致，预决算无差异。</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我单位无因公出国（境）费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我单位无公务用车购置费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公务用车运行费预算数4.01万元，决算数4.01万元，预决算差异率0.00%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本年三公经费支出年初预算数和决算数一致，预决算无差异</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我单位无公务接待费用支出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2021年度新疆塔城地区裕民县哈拉布拉镇人民政府（行政单位和参照公务员法管理事业单位）机关运行经费支出150.99万元，比上年减少168.95万元，降低52.81%</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压缩公用经费，减少支出与上年相比减少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2021年度政府采购支出总额34.43万元，其中：政府采购货物支出34.43万元、政府采购工程支出0.00万元、政府采购服务支出0.00万元。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5599.14（平方米），价值832.13万元。车辆7辆，价值33.69万元，其中：副部（省）级及以上领导用车0辆、主要领导干部用车0辆、机要通信用车0辆、应急保障用车0辆、执法执勤用车0辆、特种专业技术用车0辆、离退休干部用车0辆、其他用车7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单位</w:t>
      </w:r>
      <w:bookmarkStart w:id="52" w:name="_GoBack"/>
      <w:bookmarkEnd w:id="52"/>
      <w:r>
        <w:rPr>
          <w:rFonts w:hint="eastAsia" w:ascii="仿宋_GB2312" w:eastAsia="仿宋_GB2312"/>
          <w:color w:val="auto"/>
          <w:sz w:val="32"/>
          <w:szCs w:val="32"/>
          <w:highlight w:val="none"/>
          <w:lang w:val="en-US" w:eastAsia="zh-CN"/>
        </w:rPr>
        <w:t>业务用车。单位价值50万元以上通用设备0台（套）、单位价值100万元以上专用设备0台（套）。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8</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272.98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完善制度。我镇以预算绩效目标为突破口，在编制预算时，都要求单位编制年度财政专项资金绩效目标，报送年度财政专项资金绩效目标申报审核表，由单位审核及预算管理部门审核，报财政绩效评价备案，以便项目实施完成，进行跟踪问效评价。三是创新开展绩效监督</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一是单位主要领导对预算绩效管理认识不足；二是制定和编制预算绩效管理指标的能力不足；三是对预算绩效管理评价结果缺少奖罚激励机制</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通过培训提高单位主要领导对预算绩效管理的认识，使其充分认识到预算绩效管理，是单位内部控制小可缺少的部分，是实现单位发展规划、最大限度发挥单位职能和完成年度目标任务的有效手段。二是对基层事业单位项目负责人及预算管理人员加强业务培训，提高预算绩效管理政策理解和综合协调能力。三是要求单位按照预算绩效管理制度的规定，完善或修订单位内控管理制度和作业流程。四是加强对基层事业单位预算绩效管理的考核及结果应用；将预算绩效管理及其评价纳入对单位和领导的年度目标绩效考核，以提高单位领导及全体员工对该项工作的重视程度，必要时，建立专项奖惩机制，强化对违规和低效的责任追究机制，以促进单位预算绩效管理工作持续改进</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012B51"/>
    <w:multiLevelType w:val="singleLevel"/>
    <w:tmpl w:val="B6012B51"/>
    <w:lvl w:ilvl="0" w:tentative="0">
      <w:start w:val="2"/>
      <w:numFmt w:val="decimal"/>
      <w:suff w:val="nothing"/>
      <w:lvlText w:val="（%1）"/>
      <w:lvlJc w:val="left"/>
    </w:lvl>
  </w:abstractNum>
  <w:abstractNum w:abstractNumId="1">
    <w:nsid w:val="3B901F81"/>
    <w:multiLevelType w:val="singleLevel"/>
    <w:tmpl w:val="3B901F81"/>
    <w:lvl w:ilvl="0" w:tentative="0">
      <w:start w:val="9"/>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3MjU3YTJkNGRkYjU2ZDU0ZGIzNGM4MzFkOTkyMWYifQ=="/>
  </w:docVars>
  <w:rsids>
    <w:rsidRoot w:val="00000000"/>
    <w:rsid w:val="0131169A"/>
    <w:rsid w:val="01734C27"/>
    <w:rsid w:val="01A1264B"/>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18351F"/>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2E85A12"/>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2A1EDF"/>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A36B9E"/>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49C661D"/>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0A2BAA"/>
    <w:rsid w:val="67CB7D39"/>
    <w:rsid w:val="69316E1A"/>
    <w:rsid w:val="69554902"/>
    <w:rsid w:val="69A94B4A"/>
    <w:rsid w:val="69AD798C"/>
    <w:rsid w:val="69C70FA3"/>
    <w:rsid w:val="69E5430E"/>
    <w:rsid w:val="6A197EE3"/>
    <w:rsid w:val="6A214520"/>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1</TotalTime>
  <ScaleCrop>false</ScaleCrop>
  <LinksUpToDate>false</LinksUpToDate>
  <CharactersWithSpaces>2763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2023-09-19T06:04:04Z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C6C3AED54226451BB15373C408632779_13</vt:lpwstr>
  </property>
</Properties>
</file>