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新疆塔城地区裕民县农业技术推广站</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本县的自然资源条件和农民需要，制定本县农业推广计划、组织实施农业技术推广项目；对确定推广的农业技术进行试验、开源示范，总结适合本县生产条件的适用新技术；植物病、虫、害、草、植物检疫、农业灾害的监测、预报、防治和处置工作；负责全县的土壤化验及肥力监测工作，指导农户进行合理施肥；指导并监督下级农技推广机构、群众性科技组织和农民技术人员的农业技术推广活动；组织培训农业技术人员、农民技术员和科技示范户、宣传普通农业科技知识、传授农业科学技术，总结推广先进经验，开展技术交流活动，负责乡村两级农技推广组织和县内社会化服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新疆塔城地区裕民县农业技术推广站2021年度，实有人数25人，其中：在职人员15人，离休人员0人，退休人员10人。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从部门决算单位构成看，新疆塔城地区裕民县农业技术推广站部门决算包括：新疆塔城地区裕民县农业技术推广站决算。单位无下属预算单位，下设3个处室，分别是：业务室、财务室、办公室。</w:t>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2021年度本年收入279.72万元，与上年相比，增加4.25万元，增长1.54%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单位职工增资及调资</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本年支出279.72万元，与上年相比，增加1.60万元，增长0.58%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单位职工增资及调资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279.72万元，其中：财政拨款收入279.72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2021年度本年支出279.72万元，其中：基本支出243.30万元，占86.98%；项目支出36.42万元，占13.02%；上缴上级支出0.00万元，占0.00%；经营支出0.00万元，占0.00%；对附属单位补助支出0.00万元，占0.00%。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2021年度财政拨款收入279.72万元，与上年相比，增加4.25万元，增长1.54%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单位职工增资及调资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财政拨款支出279.72万元，与上年相比，增加1.60万元，增长0.58%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单位职工增资及调资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与年初预算数相比情况：财政拨款收入年初预算数213.22万元，决算数279.72万元，预决算差异率31.19%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单位职工增资及调资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财政拨款支出年初预算数213.22万元，决算数279.72万元，预决算差异率31.19%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单位职工增资及调资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2021年度一般公共预算财政拨款支出279.72万元。按功能分类科目项级科目公开，其中：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事业单位离退休6.37万元;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机关事业单位基本养老保险缴费支出21.89万元;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事业单位医疗12.76万元;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2130104 事业运行186.58万元;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2130106 科技转化与推广服务36.42万元;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住房公积金15.70万元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2021年度一般公共预算财政拨款基本支出243.30万元，其中：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237.75万元，包括：基本工资82.11万元、津贴补贴77.75万元、奖金0.90万元、绩效工资17.50万元、机关事业单位基本养老保险缴费21.89万元、职工基本医疗保险缴费12.76万元、其他社会保障缴费1.91万元、住房公积金15.70万元、退休费1.84万元、生活补助0.86万元、医疗费补助4.53万元。</w:t>
      </w:r>
      <w:bookmarkStart w:id="52" w:name="_GoBack"/>
      <w:bookmarkEnd w:id="52"/>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公用经费5.55万元，包括：办公费0.33万元、电费0.01万元、邮电费0.06万元、差旅费0.17万元、培训费0.01万元、劳务费0.60万元、工会经费2.62万元、福利费0.99万元、公务用车运行维护费0.77万元。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2021年度一般公共预算“三公”经费支出决算0.77万元，比上年减少1.23万元，降低61.50%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公务用车购置及运行维护费支出0.77万元，占100%，比上年减少1.23万元，降低61.50%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公务用车购置及运行维护费0.77万元，其中，公务用车购置费0.00万元，公务用车运行维护费0.77万元。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车辆保险、审车费、维修费及燃油费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与年初预算数相比情况：一般公共预算“三公”经费支出年初预算数2.00万元，决算数0.77万元，预决算差异率-61.50%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公务用车运行费预算数2.00万元，决算数0.77万元，预决算差异率-61.50%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2021年度新疆塔城地区裕民县农业技术推广站（事业单位）日常公用经费5.55万元，比上年减少6.05万元，降低52.16%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咨询费、水费、租赁费、培训费、专用材料费、劳务费、专用设备购置的减少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2021年度政府采购支出总额19.06万元，其中：政府采购货物支出18.96万元、政府采购工程支出0.00万元、政府采购服务支出0.10万元。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266.46（平方米），价值15.65万元。车辆2辆，价值29.96万元，其中：副部（省）级及以上领导用车0辆、主要领导干部用车0辆、机要通信用车0辆、应急保障用车0辆、执法执勤用车0辆、特种专业技术用车0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皮卡车1辆、越野车1辆，用于技术人员下乡用车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36.42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项目执行数为36.42万元，三级绩效指标合计完成23个</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一是部分绩效指标及目标值有待进一步细化和量化；二是部门整体预算执行率未达到95%，预算执行有待提升</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一是抓落实。要求将任务落实到具体项目，明确责任主体；二是抓督查，经常到实地督查进度，并采取开展调研、中期评估等有效管理措施，促进项目顺利实施</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OGRlMzc3YTU1OWRjZTRiOGI0YzhjMjMxNjk0N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8D6FFA"/>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0639DE"/>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4D07DAB"/>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5482F"/>
    <w:rsid w:val="45A87853"/>
    <w:rsid w:val="45AD0B65"/>
    <w:rsid w:val="46901EEE"/>
    <w:rsid w:val="469C74D2"/>
    <w:rsid w:val="46DC1114"/>
    <w:rsid w:val="46FA6D28"/>
    <w:rsid w:val="473F39FE"/>
    <w:rsid w:val="47484ACA"/>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B921F86"/>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AF340E"/>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6</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2023-09-19T08:14:28Z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