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新疆塔城地区裕民县农村合作经济发展中心</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一项基础工作、三大管理、三项指导”，分别是农村经济统计、农村财务管理、农村二轮土地承包合同管理、农民负担监督管理；指导农业产业化经营、指导农民专业合作经济组织发展、指导农民社会化服务体系建设。</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新疆塔城地区裕民县农村合作经济发展中心2021年度，实有人数7人，其中：在职人员5人，离休人员0人，退休人员2人。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从部门决算单位构成看，新疆塔城地区裕民县农村合作经济发展中心部门决算包括：新疆塔城地区裕民县农村合作经济发展中心决算。单位无下属预算单位，下设3个处室，分别是：办公室、业务室、财务室。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2021年度本年收入389.45万元，与上年相比，增加232.16万元，增长147.60%</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项目增加，项目收入增加</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本年支出389.45万元，与上年相比，增加232.16万元，增长147.60%</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项目增加，项目支出增加</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389.45万元，其中：财政拨款收入356.95万元，占91.65%；上级补助收入0.00万元，占0.00%；事业收入0.00万元，占0.00%；经营收入0.00万元，占0.00%；附属单位上缴收入0.00万元，占0.00%；其他收入32.50万元，占8.35%。</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2021年度本年支出389.45万元，其中：基本支出70.65万元，占18.14%；项目支出318.80万元，占81.86%；上缴上级支出0.00万元，占0.00%；经营支出0.00万元，占0.00%；对附属单位补助支出0.00万元，占0.00%。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2021年度财政拨款收入356.95万元，与上年相比，增加199.66万元，增长126.94%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增加合作社补贴项目</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财政拨款支出356.95万元，与上年相比，增加199.66万元，增长126.94%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增加合作社补贴项目</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与年初预算数相比情况：财政拨款收入年初预算数92.98万元，决算数356.95万元，预决算差异率283.90%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增加合作社补贴项目收入</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财政拨款支出年初预算数92.98万元，决算数356.95万元，预决算差异率283.90%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增加人员调资和合作社补贴项目</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2021年度一般公共预算财政拨款支出356.95万元。按功能分类科目项级科目公开，其中：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2080501 行政单位离退休2.02万元;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2080505 机关事业单位基本养老保险缴费支出6.78万元;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2101101 行政单位医疗3.96万元;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2101103 公务员医疗补助1.62万元;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2130101 行政运行51.40万元;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2130122 农业生产发展8.00万元;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2130199 其他农业农村支出278.30万元;</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2210201 住房公积金4.87万元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2021年度一般公共预算财政拨款基本支出70.65万元，其中：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66.95万元，包括：基本工资15.77万元、津贴补贴24.23万元、奖金7.70万元、机关事业单位基本养老保险缴费6.78万元、职工基本医疗保险缴费3.96万元、公务员医疗补助缴费1.62万元、住房公积金4.87万元、退休费0.43万元、医疗费补助1.59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公用经费3.69万元，包括：办公费0.82万元、电费0.06万元、</w:t>
      </w:r>
      <w:bookmarkStart w:id="52" w:name="_GoBack"/>
      <w:bookmarkEnd w:id="52"/>
      <w:r>
        <w:rPr>
          <w:rFonts w:hint="eastAsia" w:ascii="仿宋_GB2312" w:eastAsia="仿宋_GB2312"/>
          <w:color w:val="auto"/>
          <w:sz w:val="32"/>
          <w:szCs w:val="32"/>
          <w:highlight w:val="none"/>
          <w:lang w:val="en-US" w:eastAsia="zh-CN"/>
        </w:rPr>
        <w:t>邮电费0.31万元、差旅费0.11万元、维修（护）费0.04万元、培训费0.01万元、劳务费0.10万元、工会经费0.98万元、福利费0.44万元、公务用车运行维护费0.83万元。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2021年度一般公共预算“三公”经费支出决算0.83万元，比上年减少1.17万元，降低58.50%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财政紧张，没有拨付到位</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未安排此项支出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公务用车购置及运行维护费支出0.83万元，占100%，比上年减少1.17万元，降低58.50%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厉行节约，减少公务用车费用</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未安排此项支出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未安排此项支出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公务用车购置及运行维护费0.83万元，其中，公务用车购置费0.00万元，公务用车运行维护费0.83万元。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车辆保险、车辆维修费、审车费及燃油费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公务用车购置数0辆，公务用车保有量1辆。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未安排此项支出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与年初预算数相比情况：一般公共预算“三公”经费支出年初预算数2.00万元，决算数0.83万元，预决算差异率-58.50%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厉行节约，减少公务用车费用</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未安排此项支出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未安排此项支出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公务用车运行费预算数2.00万元，决算数0.83万元，预决算差异率-58.50%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厉行节约，减少公务用车费用</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未安排此项支出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2021年度新疆塔城地区裕民县农村合作经济发展中心（行政单位和参照公务员法管理事业单位）机关运行经费支出3.69万元，比上年减少4.85万元，降低56.79%</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厉行节约，减少公务用车费用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2021年度政府采购支出总额0.81万元，其中：政府采购货物支出0.00万元、政府采购工程支出0.00万元、政府采购服务支出0.81万元。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1辆，价值8.68万元，其中：副部（省）级及以上领导用车0辆、主要领导干部用车0辆、机要通信用车0辆、应急保障用车0辆、执法执勤用车0辆、特种专业技术用车0辆、离退休干部用车0辆、其他用车1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上海英伦1辆，下乡用</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318.8万元，本年项目执行数为318.80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一是提高政府公信力。二是提高就业人数。三是降低生产成本，提高劳动效率</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1、对绩效目标的设定不够细化和准确，部分项目设置的绩效指标与项目实际脱节，导致监控时无法达到预期目标值。2、绩效填报工作主要是财务人员负责，项目实施部门未积极参与项目绩效管理工作中来，导致交接不到位，部分项目未及时进行调整</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一是抓落实。要求将任务落实到具体项目，明确责任主体；二是督查。经常到实地督查进度，并采取开展调研、中期评估等有效管理措施，促进项目顺利实施</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5453"/>
      <w:bookmarkStart w:id="51" w:name="_Toc764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0OGRlMzc3YTU1OWRjZTRiOGI0YzhjMjMxNjk0NDQ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658139D"/>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56341B"/>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B91E77"/>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866F42"/>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457552"/>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4227</Words>
  <Characters>4725</Characters>
  <Lines>0</Lines>
  <Paragraphs>0</Paragraphs>
  <TotalTime>4</TotalTime>
  <ScaleCrop>false</ScaleCrop>
  <LinksUpToDate>false</LinksUpToDate>
  <CharactersWithSpaces>4776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lenovo</cp:lastModifiedBy>
  <dcterms:modified xsi:type="dcterms:W3CDTF">2023-09-19T05:11:37Z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58240A701613457BB24A0FE0F01EE863</vt:lpwstr>
  </property>
</Properties>
</file>