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新疆塔城地区裕民县哈拉布拉乡人民政府</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本单位成立于1984年，单位性质为行政单位，主管部门是裕民县人民政府，法定代表人迪力木拉提·阿依达汉，地址位于裕民县龙珍路3号，主要业务范围包括为经济提供服务，制定经济发展和产业发展规划、计划并组织实施；为群众提供公共服务，制定区域内各项社会事业发展规划；加强社会事务管理，负责区域内教育科技、劳动社会保障、民政、文化体育广播影视、卫生、计划生育等社会事务管理工作；加强社会管理综合治理，维护社会稳定等。</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加强我乡社会事务管理,落实计划生育基本国策，推进优生优育，稳定农村低生育水平。促进农村义务教育发展，推动农村公共卫生体系和基本医疗体系建设，丰富农民群众文化生活，发展农村体育事业，培养社会主义新型农民。做好防灾减灾、五保供养、优抚安置、低保、扶贫救济、养老保险和其他社会救助工作。发展农村老龄服务。加强农村残疾预防和残疾人康复工作。组织开展农村基础设施建设，完善农民生产生活条件。做好外出务工人员技能培训的服务工作，促进城乡劳动者平等就业。完善农村公共服务，形成管理有序、服务完善、文明祥和的社会生活共同体。</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加强哈拉布拉乡社会治安综合治理，完善农村治安防控体系，保障人民生命财产安全。做好农村信访工作，畅通诉求渠道，及时掌握社情民意，排查化解矛盾纠纷，妥善处理人民内部矛盾。建立健全农村应急管理体制，提高危机处置能力。依法管理宗教事务，反对和制止利用宗教和宗教势力干预农村公共事务。协助县级有关部门做好安全生产、劳动监察、环境保护等方面的工作。保证社会公正，维护社会秩序和社会稳定。</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加强哈拉布拉乡农村党的基层组织建设、农村基层干部队伍建设、农村党员队伍建设。做好镇人大、群团、国防教育、兵役、民兵等工作。指导村民自治、完善民主议事制度，推进村务公开、财务公开，引导农民有序参与村级事务管理，推动农村社区建设，促进社会组织健康发展，增强社会自治功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新疆塔城地区裕民县哈拉布拉乡人民政府2021年度，实有人数136人，其中：在职人员85人，离休人员0人，退休人员51人。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哈拉布拉乡人民政府部门决算包括：新疆塔城地区裕民县哈拉布拉乡人民政府决算。单位无下属预算单位，下设7个处室，分别是：农村合作经济（统计）发展中心（财政所）、综治中心、村镇规划建设发展中心（生态环境工作站）、社会保障（民政）服务中心（退役军人服务站、农业（畜牧业）发展服务中心、党群服务中心（文体广电旅游服务中心）、综合行政执法队。</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2021年度本年收入5,512.29万元，与上年相比，增加2,701.37万元，增长96.10%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扶贫和产业发展项目增加，收入增加</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本年支出5,512.29万元，与上年相比，增加2,553.35万元，增长86.29%</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扶贫和产业发展项目增加，支出增加</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5,512.29万元，其中：财政拨款收入4,642.20万元，占84.22%；上级补助收入0.00万元，占0.00%；事业收入0.00万元，占0.00%；经营收入0.00万元，占0.00%；附属单位上缴收入0.00万元，占0.00%；其他收入870.09万元，占15.78%。</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2021年度本年支出5,512.29万元，其中：基本支出1,715.49万元，占31.12%；项目支出3,796.80万元，占68.88%；上缴上级支出0.00万元，占0.00%；经营支出0.00万元，占0.00%；对附属单位补助支出0.00万元，占0.00%。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2021年度财政拨款收入4,642.20万元，与上年相比，增加2,084.59万元，增长81.51%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扶贫项目较上一年增加，财政拨款收入相应增加，产业项目增加2个，增加资金进900多万</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财政拨款支出4,642.20万元，与上年相比，增加1,948.81万元，增长72.36%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扶贫项目较上一年增加，财政拨款收入相应增加，产业项目增加2个，资金相应增加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与年初预算数相比情况：财政拨款收入年初预算数1,653.80万元，决算数4,642.20万元，预决算差异率180.70%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年初做预算时没有做扶贫项目和产业发展项目和预算，导致预算数和决算数，相差较大</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财政拨款支出年初预算数1,653.80万元，决算数4,642.20万元，预决算差异率180.70%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年初做预算时没有做扶贫项目和产业发展项目和预算，导致预算数和决算数，相差较大</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2021年度一般公共预算财政拨款支出4,630.93万元。按功能分类科目项级科目公开，其中：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2010301 行政运行781.61万元;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2010399 其他政府办公厅（室）及相关机构事务支出4.00万元;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2010650 事业运行94.19万元;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2013299 其他组织事务支出26.40万元;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2013399 其他宣传事务支出8.00万元;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2013499 其他统战事务支出1.27万元;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2013699 其他共产党事务支出9.19万元;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2070199 其他文化和旅游支出5.00万元;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2070808 广播电视事务29.51万元;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2080150 事业运行19.47万元;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2080501 行政单位离退休24.94万元;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2080502 事业单位离退休20.20万元;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机关事业单位基本养老保险缴费支出95.60万元;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2080805 义务兵优待1.50万元;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2081199 其他残疾人事业支出40.72万元;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2082102 农村特困人员救助供养支出11.60万元;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2100717 计划生育服务34.20万元;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2100799 其他计划生育事务支出9.70万元;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行政单位医疗17.79万元;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事业单位医疗37.82万元;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公务员医疗补助8.98万元;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2120101 行政运行25.01万元;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2130101 行政运行0.91万元;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2130104 事业运行300.20万元;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2130152 对高校毕业生到基层任职补助45.84万元;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2130504 农村基础设施建设1,966.26万元;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2130505 生产发展874.56万元;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2130701 对村级公益事业建设的补助7.94万元;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2130704 国有农场办社会职能改革补助44.89万元;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住房公积金68.86万元;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其他支出14.77万元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2021年度一般公共预算财政拨款基本支出1,715.49万元，其中：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人员经费1,646.80万元，包括：</w:t>
      </w:r>
      <w:bookmarkStart w:id="52" w:name="_GoBack"/>
      <w:r>
        <w:rPr>
          <w:rFonts w:hint="eastAsia" w:ascii="仿宋_GB2312" w:eastAsia="仿宋_GB2312"/>
          <w:color w:val="auto"/>
          <w:sz w:val="32"/>
          <w:szCs w:val="32"/>
          <w:highlight w:val="none"/>
          <w:lang w:val="en-US" w:eastAsia="zh-CN"/>
        </w:rPr>
        <w:t>基本工资343.21万元、津贴补贴438.43万元、奖金122.54万元、伙食补助费1.71万元、机关事业单位基本养老保险缴费77.98万元、职工基本医疗保险缴费78.33万元、公务员医疗补助缴费5.76万元、其他社会保障缴费1.01万元、住房公积金68.86万元、其他工资福利354.16万元、退休费16.09万元、抚恤金1.5万元、生活补助105.05万元、医疗费补助29.05万元、其他对个人和家庭的补助3.12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68.69万元，包括：电费16.12万元、办公费21.23万元、水费0.5万元、邮电费2.33万元、取暖费1.33万元、差旅费0.59万元、维修（护）费0.76万元、租赁费6.87万元、培训费0.04万元、劳务费1.43万元、福利费4.62万元、公务用车运行维护费5.81万元、其他交通费用6.72万元、其他商品和服务支出0.34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bookmarkEnd w:id="52"/>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2021年度一般公共预算“三公”经费支出决算5.81万元，比上年减少1.47万元，降低20.19%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2021年压缩三公经费，三公经费支出相应的减少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本年无因公出差人员</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公务用车购置及运行维护费支出5.81万元，占100%，比上年减少1.47万元，降低20.19%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压缩三公经费，三公经费支出相应的减少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本年无公务接待支出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本年无因公出国费用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公务用车购置及运行维护费5.81万元，其中，公务用车购置费0.00万元，公务用车运行维护费5.81万元。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本年车辆维修，车辆加油，车辆保险</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公务用车购置数0辆，公务用车保有量3辆。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本年无公务接待费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与年初预算数相比情况：一般公共预算“三公”经费支出年初预算数5.81万元，决算数5.81万元，预决算差异率0.00%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本年三公经费支出年初预算数和决算数一致，预决算无差异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w:t>
      </w:r>
      <w:r>
        <w:rPr>
          <w:rFonts w:hint="eastAsia" w:ascii="仿宋_GB2312" w:hAnsi="宋体" w:eastAsia="仿宋_GB2312" w:cs="宋体"/>
          <w:color w:val="auto"/>
          <w:kern w:val="0"/>
          <w:sz w:val="32"/>
          <w:szCs w:val="32"/>
          <w:highlight w:val="none"/>
          <w:lang w:val="en-US" w:eastAsia="zh-CN"/>
        </w:rPr>
        <w:t>因公出国（境）费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w:t>
      </w:r>
      <w:r>
        <w:rPr>
          <w:rFonts w:hint="eastAsia" w:ascii="仿宋_GB2312" w:hAnsi="宋体" w:eastAsia="仿宋_GB2312" w:cs="宋体"/>
          <w:color w:val="auto"/>
          <w:kern w:val="0"/>
          <w:sz w:val="32"/>
          <w:szCs w:val="32"/>
          <w:highlight w:val="none"/>
          <w:lang w:val="en-US" w:eastAsia="zh-CN"/>
        </w:rPr>
        <w:t>公务用车购置费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公务用车运行费预算数5.81万元，决算数5.81万元，预决算差异率0.00%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本年三公经费支出年初预算数和决算数一致，预决算无差异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本年无公务接待费预算</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性基金预算财政拨款收入11.27万元，与上年相比，减少48.73万元，降低81.22%，主要原因是：我乡政府性基金项目减少，收入减少。政府性基金预算支出11.27万元，与上年相比，减少69.47万元，降低86.04%，主要原因是：我乡本年政府性基金预算项目减少，支出相应减少。</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政府性基金预算财政拨款支出11.27万元。按功能分类科目项级科目公开，其中：</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2120804 农村基础设施建设支出11.27万元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2021年度新疆塔城地区裕民县哈拉布拉乡人民政府（行政单位和参照公务员法管理事业单位）机关运行经费支出68.69万元，比上年减少32.21万元，降低31.92%</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压缩公用经费，减少支出与上年相比减少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2021年度政府采购支出总额2.90万元，其中：政府采购货物支出2.30万元、政府采购工程支出0.00万元、政府采购服务支出0.60万元。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授予中小企业合同金额2.9万元，占政府采购支出总额的2.9%，其中：授予小微企业合同金额2.9万元，占政府采购支出总额的100%。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2231.92（平方米），价值340.01万元。车辆11辆，价值115.09万元，其中：副部（省）级及以上领导用车0辆、主要领导干部用车0辆、机要通信用车0辆、应急保障用车0辆、执法执勤用车0辆、特种专业技术用车5辆、离退休干部用车0辆、其他用车6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环境卫生整治</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单位价值50万元以上通用设备1台（套）、单位价值100万元以上专用设备0台（套）。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27</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3796.8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一是增强了责任意识，提高了资金使用率；二是让资金在阳光下运行，公开透明，责任更明确</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一是本单位对绩效工作做的还不够细致；二是加强学习，把绩效工作做好</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提高事业单位领导对预算绩效管理的认识；通过培训提高单位主要领导对预算绩效管理的认识，使其充分认识到预算绩效管理，是单位内部控制小可缺少的部分，是实现单位发展规划、最大限度发挥单位职能和完成年度目标任务的有效手段。二是提高基层事业单位科学制定和编制预算绩效指标的能力；对基层事业单位项目负责人及预算管理人员加强业务培训，提高预算绩效管理政策理解和综合协调能力。三是要求单位按照预算绩效管理制度的规定，完善或修订单位内控管理制度和作业流程。四是加强对基层事业单位预算绩效管理的考核及结果应用；将预算绩效管理及其评价纳入对单位和领导的年度目标绩效考核，以提高单位领导及全体员工对该项工作的重视程度，必要时，建立专项奖惩机制，强化对违规和低效的责任追究机制，以促进单位预算绩效管理工作持续改进</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yZTUwOTVhYWZlY2FmMjU5NzQyMmRmMjQ5Nzk4NzE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EEB05B8"/>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4842A42"/>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4D7F97"/>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4FF501D8"/>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57260B"/>
    <w:rsid w:val="6A733F65"/>
    <w:rsid w:val="6AAD748A"/>
    <w:rsid w:val="6B4F02DD"/>
    <w:rsid w:val="6B68175F"/>
    <w:rsid w:val="6B8E27EF"/>
    <w:rsid w:val="6C360AF8"/>
    <w:rsid w:val="6C6B3009"/>
    <w:rsid w:val="6C6B3214"/>
    <w:rsid w:val="6C747BB9"/>
    <w:rsid w:val="6D3D14C4"/>
    <w:rsid w:val="6DF26FFC"/>
    <w:rsid w:val="6E094282"/>
    <w:rsid w:val="6E941DD9"/>
    <w:rsid w:val="6ED34999"/>
    <w:rsid w:val="6F29157B"/>
    <w:rsid w:val="6F531BF4"/>
    <w:rsid w:val="6FED62CF"/>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A73D9D"/>
    <w:rsid w:val="7AC8434A"/>
    <w:rsid w:val="7B3910B5"/>
    <w:rsid w:val="7B4C7884"/>
    <w:rsid w:val="7B902D83"/>
    <w:rsid w:val="7BAB7A6D"/>
    <w:rsid w:val="7CE7783F"/>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3</TotalTime>
  <ScaleCrop>false</ScaleCrop>
  <LinksUpToDate>false</LinksUpToDate>
  <CharactersWithSpaces>2763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义不容辞＿</cp:lastModifiedBy>
  <dcterms:modified xsi:type="dcterms:W3CDTF">2023-09-19T04:26:33Z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