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新疆塔城地区裕民县人民政府办公室</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政府办公室是国家行政机关，依法对国家和社会公共事务进行管理时应承担的职责和所具有的功能。政府职能反映着公共行政的基本内容和活动方向，是公共行政的本质表现。裕民县人民政府办公室贯彻落实党中央、自治区党委、地委关于政府工作的方针政策和决策部署以及县委工作要求，在履行职责过程中坚持和加强党对政府办公室工作的集中统一领导。</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主要职责是：</w:t>
      </w:r>
    </w:p>
    <w:p>
      <w:pPr>
        <w:keepNext w:val="0"/>
        <w:keepLines w:val="0"/>
        <w:pageBreakBefore w:val="0"/>
        <w:widowControl w:val="0"/>
        <w:numPr>
          <w:ilvl w:val="0"/>
          <w:numId w:val="1"/>
        </w:numP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传达、检查、督促政府各项决议、决定、重要工作部署以及政府领导重要指示的贯彻执行情况,及时向政府领导报告。</w:t>
      </w:r>
    </w:p>
    <w:p>
      <w:pPr>
        <w:keepNext w:val="0"/>
        <w:keepLines w:val="0"/>
        <w:pageBreakBefore w:val="0"/>
        <w:widowControl w:val="0"/>
        <w:numPr>
          <w:ilvl w:val="0"/>
          <w:numId w:val="1"/>
        </w:numPr>
        <w:kinsoku/>
        <w:wordWrap/>
        <w:overflowPunct/>
        <w:topLinePunct w:val="0"/>
        <w:bidi w:val="0"/>
        <w:adjustRightInd/>
        <w:snapToGrid/>
        <w:spacing w:line="240" w:lineRule="auto"/>
        <w:ind w:left="0"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负责政府日常文件(电报)处理和日常事务工作;协助政府领导同志组织起草或草拟以政府、政府办公室名义上报下发的各类文件。</w:t>
      </w:r>
    </w:p>
    <w:p>
      <w:pPr>
        <w:keepNext w:val="0"/>
        <w:keepLines w:val="0"/>
        <w:pageBreakBefore w:val="0"/>
        <w:widowControl w:val="0"/>
        <w:numPr>
          <w:ilvl w:val="0"/>
          <w:numId w:val="1"/>
        </w:numPr>
        <w:kinsoku/>
        <w:wordWrap/>
        <w:overflowPunct/>
        <w:topLinePunct w:val="0"/>
        <w:bidi w:val="0"/>
        <w:adjustRightInd/>
        <w:snapToGrid/>
        <w:spacing w:line="240" w:lineRule="auto"/>
        <w:ind w:left="0"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负责政府会议的会务工作；协助政府领导同志组织实施会议决定事项；负责政府领导参加重大活动的组织协调和安排。</w:t>
      </w:r>
    </w:p>
    <w:p>
      <w:pPr>
        <w:keepNext w:val="0"/>
        <w:keepLines w:val="0"/>
        <w:pageBreakBefore w:val="0"/>
        <w:widowControl w:val="0"/>
        <w:numPr>
          <w:ilvl w:val="0"/>
          <w:numId w:val="1"/>
        </w:numPr>
        <w:kinsoku/>
        <w:wordWrap/>
        <w:overflowPunct/>
        <w:topLinePunct w:val="0"/>
        <w:bidi w:val="0"/>
        <w:adjustRightInd/>
        <w:snapToGrid/>
        <w:spacing w:line="240" w:lineRule="auto"/>
        <w:ind w:left="0" w:leftChars="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研究政府各部门和各乡镇(场)人民政府(管委会)请示政府的问题，提出处理意见，报政府领导审定。</w:t>
      </w:r>
    </w:p>
    <w:p>
      <w:pPr>
        <w:keepNext w:val="0"/>
        <w:keepLines w:val="0"/>
        <w:pageBreakBefore w:val="0"/>
        <w:widowControl w:val="0"/>
        <w:numPr>
          <w:numId w:val="0"/>
        </w:numPr>
        <w:kinsoku/>
        <w:wordWrap/>
        <w:overflowPunct/>
        <w:topLinePunct w:val="0"/>
        <w:bidi w:val="0"/>
        <w:adjustRightInd/>
        <w:snapToGrid/>
        <w:spacing w:line="240" w:lineRule="auto"/>
        <w:ind w:leftChars="200" w:firstLine="320" w:firstLineChars="1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（五）根据政府领导的指示或办理文件的需要，组织协调政府有关部门的工作，对有争议的问题提出处理意见,报政府领导决定。</w:t>
      </w:r>
    </w:p>
    <w:p>
      <w:pPr>
        <w:keepNext w:val="0"/>
        <w:keepLines w:val="0"/>
        <w:pageBreakBefore w:val="0"/>
        <w:widowControl w:val="0"/>
        <w:numPr>
          <w:numId w:val="0"/>
        </w:numPr>
        <w:kinsoku/>
        <w:wordWrap/>
        <w:overflowPunct/>
        <w:topLinePunct w:val="0"/>
        <w:bidi w:val="0"/>
        <w:adjustRightInd/>
        <w:snapToGrid/>
        <w:spacing w:line="240" w:lineRule="auto"/>
        <w:ind w:leftChars="200" w:firstLine="320" w:firstLineChars="1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（六）根据政府的工作部署和政府领导指示，组织有关调查研究，收集信息，反映情况，提出建议。</w:t>
      </w:r>
    </w:p>
    <w:p>
      <w:pPr>
        <w:keepNext w:val="0"/>
        <w:keepLines w:val="0"/>
        <w:pageBreakBefore w:val="0"/>
        <w:widowControl w:val="0"/>
        <w:numPr>
          <w:numId w:val="0"/>
        </w:numPr>
        <w:kinsoku/>
        <w:wordWrap/>
        <w:overflowPunct/>
        <w:topLinePunct w:val="0"/>
        <w:bidi w:val="0"/>
        <w:adjustRightInd/>
        <w:snapToGrid/>
        <w:spacing w:line="240" w:lineRule="auto"/>
        <w:ind w:leftChars="200" w:firstLine="320" w:firstLineChars="1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（七）负责政府及政府办公室的总值班工作及政府机关其它各项活动的协调安排，及时向政府领导报告重要情况。</w:t>
      </w:r>
    </w:p>
    <w:p>
      <w:pPr>
        <w:keepNext w:val="0"/>
        <w:keepLines w:val="0"/>
        <w:pageBreakBefore w:val="0"/>
        <w:widowControl w:val="0"/>
        <w:numPr>
          <w:numId w:val="0"/>
        </w:numPr>
        <w:kinsoku/>
        <w:wordWrap/>
        <w:overflowPunct/>
        <w:topLinePunct w:val="0"/>
        <w:bidi w:val="0"/>
        <w:adjustRightInd/>
        <w:snapToGrid/>
        <w:spacing w:line="240" w:lineRule="auto"/>
        <w:ind w:leftChars="200" w:firstLine="320" w:firstLineChars="1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（八）贯彻落实中央和自治区、地区关于信访工作的法律法规和方针政策，综合协调指导推动全县群众工作和信访工作。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新疆塔城地区裕民县人民政府办公室2021年度，实有人数70人，其中：在职人员35人，离休人员0人，退休人员35人。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人民政府办公室部门决算包括：新疆塔城地区裕民县人民政府办公室决算。单位无下属预算单位，下设6个处室，分别是：文秘室、综合室、信息督查室、保密室、政府政务服务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2021年度本年收入715.51万元，与上年相比，减少208.21万元，降低22.54%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人员工资增资变动及2021年没有援疆公寓楼，中</w:t>
      </w:r>
      <w:bookmarkStart w:id="52" w:name="_GoBack"/>
      <w:bookmarkEnd w:id="52"/>
      <w:r>
        <w:rPr>
          <w:rFonts w:hint="eastAsia" w:ascii="仿宋_GB2312" w:eastAsia="仿宋_GB2312"/>
          <w:b w:val="0"/>
          <w:bCs w:val="0"/>
          <w:color w:val="auto"/>
          <w:sz w:val="32"/>
          <w:szCs w:val="32"/>
          <w:highlight w:val="none"/>
          <w:lang w:val="en-US" w:eastAsia="zh-CN"/>
        </w:rPr>
        <w:t>心会议室，老宾馆维修等经费</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本年支出713.51万元，与上年相比，减少289.13万元，降低28.84%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2021年没有援疆公寓楼，中心会议室，老宾馆维修等经费</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715.51万元，其中：财政拨款收入713.51万元，占99.72%；上级补助收入0.00万元，占0.00%；事业收入0.00万元，占0.00%；经营收入0.00万元，占0.00%；附属单位上缴收入0.00万元，占0.00%；其他收入2.00万元，占0.28%。</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2021年度本年支出713.51万元，其中：基本支出710.73万元，占99.61%；项目支出2.79万元，占0.39%；上缴上级支出0.00万元，占0.00%；经营支出0.00万元，占0.00%；对附属单位补助支出0.00万元，占0.00%。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2021年度财政拨款收入713.51万元，与上年相比，减少191.20万元，降低21.13%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人员变动及2021年没有援疆公寓楼，中心会议室，老宾馆维修等经费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财政拨款支出713.51万元，与上年相比，减少254.16万元，降低26.27%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2021年没有援疆公寓楼，中心会议室，老宾馆维修等经费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与年初预算数相比情况：财政拨款收入年初预算数702.40万元，决算数713.51万元，预决算差异率1.58%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人员工资变动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财政拨款支出年初预算数702.40万元，决算数713.51万元，预决算差异率1.58%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人员工资变动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2021年度一般公共预算财政拨款支出713.51万元。按功能分类科目项级科目公开，其中：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2010301 行政运行464.59万元;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2010308 信访事务2.26万元;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2010350 事业运行96.19万元;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行政单位离退休46.07万元;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机关事业单位基本养老保险缴费支出39.37万元;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2101101 行政单位医疗18.78万元;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2101102 事业单位医疗7.00万元;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2101103 公务员医疗补助5.26万元;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住房公积金31.20万元;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2299999 其他支出2.79万元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2021年度一般公共预算财政拨款基本支出710.73万元，其中：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529.48万元，包括：基本工资139.16万元、津贴补贴152.5万元、奖金80.20万元、机关事业单位基本养老保险缴费39.37万元、职工基本医疗保险缴费25.78万元、公务员医疗补助缴费5.26万元、其他社会保障缴费0.92万元、住房公积金31.20万元、其他工资福利支出7.11万元、退休费6.57万元、抚恤金17.13万元、生活补助1.92万元、医疗费补助22.37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181.24万元，包括：电费2.90万元、办公费24.14万元、水费0.50万元、邮电费6.49万元、取暖费6.84万元、差旅费8.27万元、租赁费6.87万元、公务接待费73.15万元、劳务费12.85万元、福利费1.85万元、公务用车运行维护费37.20万元、其他交通费用0.18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2021年度一般公共预算“三公”经费支出决算110.35万元，比上年减少42.82万元，降低27.96%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节约公用经费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本单位无因公（境）经费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公务用车购置及运行维护费支出37.20万元，占33.71%，比上年减少39.54万元，降低51.52%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节约公用经费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公务接待费支出73.15万元，占66.29%，比上年减少3.27万元，降低4.28%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节约公用经费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本单位无因公（境）经费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公务用车购置及运行维护费37.20万元，其中，公务用车购置费0.00万元，公务用车运行维护费37.20万元。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车辆加油及车辆保险、车辆维修等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公务用车购置数0辆，公务用车保有量14辆。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公务接待费73.15万元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县委、政府，人大、政协、审判机关、检察机关按规定开支的各类公务接待。单位全年安排的国内公务接待325批次，13855人次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与年初预算数相比情况：一般公共预算“三公”经费支出年初预算数120.00万元，决算数110.35万元，预决算差异率-8.04%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根据中央八项规定，压缩开支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本单位无因公（境）经费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本单位无因公（境）经费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公务用车运行费预算数38.00万元，决算数37.20万元，预决算差异率-2.11%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节约公用经费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公务接待费预算数82.00万元，决算数73.15万元，预决算差异率-10.79%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根据中央八项规定，压缩开支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2021年度新疆塔城地区裕民县人民政府办公室（行政单位和参照公务员法管理事业单位）机关运行经费支出181.24万元，比上年减少250.08万元，降低57.98%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节约公用支出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2021年度政府采购支出总额12.30万元，其中：政府采购货物支出12.30万元、政府采购工程支出0.00万元、政府采购服务支出0.00万元。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授予中小企业合同金额12.30万元，占政府采购支出总额的100%，其中：授予小微企业合同金额12.30万元，占政府采购支出总额的100.00%。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4792.76（平方米），价值304.94万元。车辆14辆，价值326.45万元，其中：副部（省）级及以上领导用车0辆、主要领导干部用车0辆、机要通信用车0辆、应急保障用车0辆、执法执勤用车0辆、特种专业技术用车0辆、离退休干部用车0辆、其他用车14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轿车5辆，越野7辆，小型载客汽1辆，其他车1辆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2.78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本项目绩效情况较好，为民办实事，扎实做好“访民情惠民生聚民心”驻村工作；二是精准发力，在推进脱贫攻坚上持续用力。找到“症结”，标本兼治，重在治本，激发内生“动力”。切实发挥贫困群体主体性，变“被动”为“主动”，由“要我脱贫”向“我要脱贫”转变</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由于上级交办统计调查监测任务的突发性，一些无法预计和列入年初预算的项目支出，需要在年度中间进行预算追加和调整；二是由于政府采购（包括项目评估）招标进度原因，存在在2021年安排了政府采购预算未能在年度内实施的情况，需进行年度项目资金结转</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组织领导。统一思想，加强领导，明确责任，明确由相关部门牵头，各部门参与的绩效评价管理制度，为绩效评价工作开展创造好的条件；二是细化预算指标，提高预算科学性。预算编制前根据年度内单位可预见的工作任务，确定单位年度预算目标，细化预算指标，科学合理编制部门预算，推进预算编制科学化、准确化。年度预算编制后，根据实际情况，定期做好预算执行分析，掌握预算执行进度，及时找出预算实际执行情况与预算目标之间存在的差距，纠正偏差，为下一次科学、准确地编制部门预算积累经验</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C15C6C"/>
    <w:multiLevelType w:val="singleLevel"/>
    <w:tmpl w:val="99C15C6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0OTk5NGYyYjBkNDg3YTdhZGY3ZGJmOTQwZWY4YmI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4E70A9"/>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96C2BFF"/>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493828"/>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9F06D97"/>
    <w:rsid w:val="6A197EE3"/>
    <w:rsid w:val="6A4F6540"/>
    <w:rsid w:val="6A733F65"/>
    <w:rsid w:val="6AAD748A"/>
    <w:rsid w:val="6B4F02DD"/>
    <w:rsid w:val="6B68175F"/>
    <w:rsid w:val="6B8E27EF"/>
    <w:rsid w:val="6C360AF8"/>
    <w:rsid w:val="6C6B3009"/>
    <w:rsid w:val="6C6B3214"/>
    <w:rsid w:val="6C747BB9"/>
    <w:rsid w:val="6D3D14C4"/>
    <w:rsid w:val="6D963357"/>
    <w:rsid w:val="6DF26FFC"/>
    <w:rsid w:val="6E094282"/>
    <w:rsid w:val="6ED34999"/>
    <w:rsid w:val="6F29157B"/>
    <w:rsid w:val="6F531BF4"/>
    <w:rsid w:val="6F8A405C"/>
    <w:rsid w:val="6FE23BEB"/>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5129</Words>
  <Characters>5708</Characters>
  <Lines>0</Lines>
  <Paragraphs>0</Paragraphs>
  <TotalTime>53</TotalTime>
  <ScaleCrop>false</ScaleCrop>
  <LinksUpToDate>false</LinksUpToDate>
  <CharactersWithSpaces>5768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2023-09-19T05:06:05Z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