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新疆塔城地区裕民县第二小学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第二小学属于全额事业拨款单位，隶属裕民县教科局统一负责管理，在教科局的领导下，教书育人，全面贯彻落实科学发展观，促进教育事业的蓬勃发展。实施义务教育，促进基础教育发展。实施义务教育，保障适龄儿童少年接受义务教育，贯彻落实党的教育方针，按国家规定标准完成教育教学任务，遵循办学规律和积极开展各项教育活动，为培养人才奠定基础。完成上级下达的各项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四、负责教师队伍建设工作，决定校内教职工的工作安排，组织对教职工进行考核，实施奖惩、制定教师队伍建设规划，不断提高他们的政治素质、文化业务水平和科研水平。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制定和实施校舍建设和校园建设规划，加强对财务工作的领导，正确使用各项经费，不断改善办学条件，强化安全工作管理，创造良好的育人环境。改善教职工的福利生活，提高福利待遇，努力解除教职工的后顾之忧。</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八、加强与党支部的合作，主动接受学校党组织的监督搞好领导班子的团结和协作。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九、依靠群众办学，实行民主管理和民主监督。负责定期向教代会报告工作，充分发挥教代会参与学校民主管理和民主监督的作用，支持其在职权范围内所做的有关决定。督促和检查教代会提案的办理与落实。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十、主持学校与学生家长及社会的联系工作和外来工作。搞好校际闻的交往做好与社会各界的联系工作，争取各方面力量对学校的支持为协好学校创造良好的外部条件。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新疆塔城地区裕民县第二小学2021年度，实有人数152人，其中：在职人员105人，离休人员0人，退休人员47人。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第二小学部门决算包括：新疆塔城地区裕民县第二小学决算。单位无下属预算单位，下设8个处室，分别是：教务处、政教处、总务处、校办室、工会、团委室、财务室、党建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2021年度本年收入1,878.31万元，与上年相比，增加197.17万元，增长11.73%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教师地方性津贴补贴增加，项目资金拨款增加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本年支出1,878.31万元，与上年相比，增加171.96万元，增长10.08%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教师地方性津贴补贴增加，项目资金支出增加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1,878.31万元，其中：财政拨款收入1,878.31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2021年度本年支出1,878.31万元，其中：基本支出1,563.75万元，占83.25%；项目支出314.56万元，占16.75%；上缴上级支出0.00万元，占0.00%；经营支出0.00万元，占0.00%；对附属单位补助支出0.00万元，占0.00%。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2021年度财政拨款收入1,878.31万元，与上年相比，增加197.17万元，增长11.73%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教师地方性津贴补贴增加，项目资金拨款增加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财政拨款支出1,878.31万元，与上年相比，增加171.96万元，增长10.08%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教师地方性津贴补贴增加，项目资金支出增加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与年初预算数相比情况：财政拨款收入年初预算数1,718.48万元，决算数1,878.31万元，预决算差异率9.30%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教师地方性津贴补贴增加，项目资金拨款增加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财政拨款支出年初预算数1,718.48万元，决算数1,878.31万元，预决算差异率9.30%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教师地方性津贴补贴增加，项目资金拨款增加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2021年度一般公共预算财政拨款支出1,878.31万元。按功能分类科目项级科目公开，其中：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2050202 小学教育1,557.71万元;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w:t>
      </w:r>
      <w:bookmarkStart w:id="52" w:name="_GoBack"/>
      <w:bookmarkEnd w:id="52"/>
      <w:r>
        <w:rPr>
          <w:rFonts w:hint="eastAsia" w:ascii="仿宋_GB2312" w:eastAsia="仿宋_GB2312"/>
          <w:color w:val="auto"/>
          <w:sz w:val="32"/>
          <w:szCs w:val="32"/>
          <w:highlight w:val="none"/>
          <w:lang w:val="en-US" w:eastAsia="zh-CN"/>
        </w:rPr>
        <w:t>老保险缴费支出135.12万元;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机关事业单位职业年金缴费支出4.46万元;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事业单位医疗78.65万元;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住房公积金97.32万元;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2021年度一般公共预算财政拨款基本支出1,563.75万元，其中：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1,540.90万元，包括：基本工资512.33万元、津贴补贴459.36万元、奖金193.18万元、机关事业单位基本养老保险缴费135.12万元、职业年金缴费4.47万元、职工基本医疗保险缴费78.65万元、其他社会保障缴费35.94万元、住房公积金97.32万元、其他工资福利支出14.78万元、退休费3.04万元、生活补助6.72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公用经费22.84万元，包括：工会经费17.34万元、福利费5.50万元。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2021年度新疆塔城地区裕民县第二小学（事业单位）公用经费22.84万元，比上年减少50.75万元，降低68.96%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由于疫情，培训减少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2021年度政府采购支出总额107.10万元，其中：政府采购货物支出107.10万元、政府采购工程支出0.00万元、政府采购服务支出0.00万元。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授予中小企业合同金额107.10万元，占政府采购支出总额的100%，其中：授予小微企业合同金额107.10万元，占政府采购支出总额的100.00%。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937.00（平方米），价值30.97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5.00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义务教育阶段学生正常免费供应营养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确保按时落实义务教育阶段非寄宿贫困生生活补助政策</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二是我校非寄宿生贫困生生活补助资金是上级主管部门在上年统计报表中取得学生人数并申请下达的资金，与我校当年学生人数产生偏差，从而导致资金拨付数大于实际需求数</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一是在今后的工作中应进一步加强学习，强化绩效管理的理念；加强资金的监管力度；创新管理，落实岗位责任；二是细化预算指标，提高预算科学性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YzkzMzMyOGQ2Mjg3YzJmNzI0NDlkOGI2ZjZhN2QifQ=="/>
  </w:docVars>
  <w:rsids>
    <w:rsidRoot w:val="00000000"/>
    <w:rsid w:val="00361A31"/>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7B7FC4"/>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99C227B"/>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C73BDB"/>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3A43A3"/>
    <w:rsid w:val="750B5BF1"/>
    <w:rsid w:val="75B51FC0"/>
    <w:rsid w:val="75B60031"/>
    <w:rsid w:val="75F576A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CE4D7A"/>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25</TotalTime>
  <ScaleCrop>false</ScaleCrop>
  <LinksUpToDate>false</LinksUpToDate>
  <CharactersWithSpaces>2763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2021-01-01</cp:lastModifiedBy>
  <dcterms:modified xsi:type="dcterms:W3CDTF">2023-09-19T05:15:13Z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58240A701613457BB24A0FE0F01EE863</vt:lpwstr>
  </property>
</Properties>
</file>