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新疆裕民县文化体育广播电视和旅游局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加强党对文化体育广播电视和旅游工作的领导。贯彻落实党和国家文化体育广播电视和旅游工作的方针政策，拟订文化体育广播电视和旅游政策措施，发展中国特色社会主义文化，实施全民健身纲要、旅游兴疆战略，牢牢掌握意识形态工作的领导权和主动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统筹文化体育广播电视和旅游事业、产业振兴发展，拟订文化体育广播电视和旅游发展规划并组织实施，推进文化和旅游创新融合绿色发展，实施“文化和旅游+”、“体育和旅游+”。落实文化体育和旅游体制机制改革，推动多元化服务体系建设，推进文化体育公共服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管理重大文化体育和旅游活动，指导重点文化体育和旅游设施建设，组织文化和旅游整体形象推广，构建全媒体时代的宣传营销平台和机制。促进文化和旅游产业对外合作和市场推广，拟订旅游市场开发战略并组织实施。统筹文化和旅游景区管理，指导、推进全域旅游。</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（四）指导、管理文艺事业，指导艺术创作生产及艺术研究评论，扶持坚守中华文化立场、体现社会主义核心价值观、具有导向性代表性示范性的文艺作品，推动各门类艺术、各艺术品种发展。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（五）负责公共文化体育旅游事业发展，推进体育惠民、公共文化服务体系建设和旅游公共服务建设，深入实施文化体育惠民工程，统筹推进基本公共文化服务标准化、均等化。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（六）指导文化和旅游科技创新发展，推进文化和旅游行业信息化、标准化建设。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（七）负责非物质文化遗产保护和研究。推动非物质文化遗产的保护、传承、普及、弘扬和振兴。</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统筹规划文化体育广播电视和旅游产业，组织实施文化体育和旅游资源普查、挖掘、保护与利用工作。推动文化和旅游产业投融资体系建设，促进文化和旅游产业发展。结合乡村振兴战略，推进文化和旅游扶贫。</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（九）指导文化和旅游市场发展，对文化和旅游市场经营进行行业监管，推进文化和旅游行业信用体系建设，依法规范文化和旅游市场。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（十）负责文化和旅游安全的综合协调与监督管理，指导文化和旅游应急救援工作。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（十一）指导文化市场综合执法，组织查处文化、体育、旅游、文物、广播电视等市场的违法行为，督查督办案件，维护市场秩序。</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四）负责统筹规划群众体育发展，推行全民健身计划；组织实施国家体育锻炼标准，推动国民体质监测和社会体育指导员工作队伍建设；指导公共体育设施建设，负责公共体育设施的监督管理；负责指导开展健身气功活动并加强监督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（十五）贯彻党的宣传方针政策，拟订网络视听节目服务管理的政策措施，加强广播电视阵地管理，把握正确的舆论导向和创作导向。</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六）组织拟订广播电视科技发展规划、政策和行业技术标准并组织实施和监督检查。负责对广播电视节目传输覆盖、监测和安全播出进行监管，指导、推进应急广播体系建设。指导、协调广播电视系统安全和保卫工作。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（十七）指导广播电视、网络视听行业人才队伍建设。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（十八）完成县委、政府交办的其他任务。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新疆裕民县文化体育广播电视和旅游局2021年度，实有人数50人，其中：在职人员30人，离休人员0人，退休人员20人。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从部门决算单位构成看，新疆裕民县文化体育广播电视和旅游局部门决算包括：新疆裕民县文化体育广播电视和旅游局部门本级决算。</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新疆裕民县文化体育广播电视和旅游局本级下设4个处室，分别是：景区管委会、体训中心、巴什拜展览馆、博物馆。</w:t>
      </w:r>
      <w:bookmarkStart w:id="54" w:name="_GoBack"/>
      <w:bookmarkEnd w:id="54"/>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bookmarkStart w:id="6" w:name="_Toc3092"/>
      <w:bookmarkStart w:id="7" w:name="_Toc29374"/>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2021年度本年收入4,875.34万元，与上年相比，减少6,842.89万元，降低58.40%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项目债权资金减少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本年支出4,875.34万元，与上年相比，减少7,113.37万元，降低59.33%</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项目债券资金减少，本年无往年结转资金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4,875.34万元，其中：财政拨款收入2,906.81万元，占59.62%；上级补助收入0.00万元，占0.00%；事业收入0.00万元，占0.00%；经营收入0.00万元，占0.00%；附属单位上缴收入0.00万元，占0.00%；其他收入1,968.53万元，占40.38%。</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2021年度本年支出4,875.34万元，其中：基本支出512.24万元，占10.51%；项目支出4,363.10万元，占89.49%；上缴上级支出0.00万元，占0.00%；经营支出0.00万元，占0.00%；对附属单位补助支出0.00万元，占0.00%。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2021年度财政拨款收入2,906.81万元，与上年相比，减少8,085.92万元，降低73.56%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项目债券资金减少，整体收入减少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财政拨款支出2,906.81万元，与上年相比，减少8,250.66万元，降低73.95%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项目债券资金减少，财政拨款类结转资金减少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与年初预算数相比情况：财政拨款收入年初预算数562.54万元，决算数2,906.81万元，预决算差异率416.73%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项目增多，项目资金增加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财政拨款支出年初预算数562.54万元，决算数2,906.81万元，预决算差异率416.73%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项目增多，项目资金增加，支出增大</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2021年度一般公共预算财政拨款支出2,878.97万元。按功能分类科目项级科目公开，其中：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2060199 其他科学技术管理事务支出20.33万元;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2070101 行政运行387.64万元;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2070104 图书馆1,000.00万元;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2070113 旅游宣传17.60万元;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2070199 其他文化和旅游支出192.57万元;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2070204 文物保护7.20万元;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2070205 博物馆10.00万元;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2070307 体育场馆1,000.00万元;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2070808 广播电视事务19.10万元;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2070899 其他广播电视支出9.96万元;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2079999 其他文化旅游体育与传媒支出95.67万元;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行政单位离退休22.08万元;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机关事业单位基本养老保险缴费支出34.30万元;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行政单位医疗20.05万元;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公务员医疗补助3.11万元;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住房公积金24.72万元;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其他支出14.63万元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11146"/>
      <w:bookmarkStart w:id="19"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2021年度一般公共预算财政拨款基本支出512.24万元，其中：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415.47万元，包括：基本工资115.64万元、津贴补贴127.01万元、奖金5.5万元、绩效工资40.32万元、机关事业单位基本养老保险缴费34.3万元、职工基本医疗保险缴费19.54万元、公务员医疗补助缴费3.11万元、其他社会保障缴费1.69万元、住房公积金24.72万元、其他工资福利支出20.33万元、退休费4.28万元、生活补助1.22万元、医疗费补助17.8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96.77万元，包括：电费2万元、办公费46.4万元、手续费0.08万元、邮电费3.42万元、取暖费28.48万元、差旅费2.2万元、维修（护）费0.95万元、专用材料费1.1万元、劳务费0.1万元、工会经费4.36万元、福利费3.68万元、公务用车运行维护费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21518"/>
      <w:bookmarkStart w:id="21"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2021年度一般公共预算“三公”经费支出决算4.00万元，比上年增加0.00万元，增长0.00%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与上年持平</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公务用车购置及运行维护费支出4.00万元，占100%，比上年增加0.00万元，增长0.00%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与上年持平</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公务用车购置及运行维护费4.00万元，其中，公务用车购置费0.00万元，公务用车运行维护费4.00万元。</w:t>
      </w:r>
      <w:r>
        <w:rPr>
          <w:rFonts w:hint="eastAsia" w:ascii="仿宋_GB2312" w:eastAsia="仿宋_GB2312"/>
          <w:color w:val="auto"/>
          <w:sz w:val="32"/>
          <w:szCs w:val="32"/>
          <w:highlight w:val="none"/>
        </w:rPr>
        <w:t>公务用车运行维护费开支内容</w:t>
      </w:r>
      <w:r>
        <w:rPr>
          <w:rFonts w:hint="eastAsia" w:ascii="仿宋_GB2312" w:eastAsia="仿宋_GB2312"/>
          <w:color w:val="auto"/>
          <w:sz w:val="32"/>
          <w:szCs w:val="32"/>
          <w:highlight w:val="none"/>
          <w:lang w:val="en-US" w:eastAsia="zh-CN"/>
        </w:rPr>
        <w:t>包括车辆加油1.85万元、保险1.63万元及车辆维修0.52万元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与年初预算数相比情况：一般公共预算“三公”经费支出年初预算数4.00万元，决算数4.00万元，预决算差异率0.00%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预决算数一致，无差异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公务用车运行费预算数4.00万元，决算数4.00万元，预决算差异率0.00%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预决算一致，无差异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5810"/>
      <w:bookmarkStart w:id="23" w:name="_Toc7927"/>
      <w:r>
        <w:rPr>
          <w:rFonts w:hint="eastAsia" w:ascii="黑体" w:hAnsi="黑体" w:eastAsia="黑体" w:cs="宋体"/>
          <w:bCs/>
          <w:color w:val="auto"/>
          <w:kern w:val="0"/>
          <w:sz w:val="32"/>
          <w:szCs w:val="32"/>
          <w:highlight w:val="none"/>
          <w:lang w:eastAsia="zh-CN"/>
        </w:rPr>
        <w:t>八、政府性基金预算收入支出决算情况说明</w:t>
      </w:r>
      <w:bookmarkEnd w:id="22"/>
      <w:bookmarkEnd w:id="23"/>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27.85万元，与上年相比，减少10,023.05万元，降低99.72%，主要原因是：基金性质的债券资金项目减少。政府性基金预算支出27.85万元，与上年相比，减少10,023.05万元，降低99.72%，主要原因是：基金性质的债券资金项目减少。</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政府性基金预算财政拨款支出27.85万元。按功能分类科目项级科目公开，其中：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2296003 用于体育事业的彩票公益金支出27.85万元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4" w:name="_Toc7314"/>
      <w:bookmarkStart w:id="25"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6" w:name="_Toc14519"/>
      <w:bookmarkStart w:id="27"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2021年度新疆裕民县文化体育广播电视和旅游局（行政单位和参照公务员法管理事业单位）公用经费支出96.77万元，比上年增加41.02万元，增长73.58%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本年新增文化旅游专项办公经费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8" w:name="_Toc26704"/>
      <w:bookmarkStart w:id="29" w:name="_Toc227"/>
      <w:r>
        <w:rPr>
          <w:rFonts w:hint="eastAsia" w:ascii="黑体" w:hAnsi="黑体" w:eastAsia="黑体"/>
          <w:color w:val="auto"/>
          <w:sz w:val="32"/>
          <w:szCs w:val="32"/>
          <w:highlight w:val="none"/>
          <w:lang w:eastAsia="zh-CN"/>
        </w:rPr>
        <w:t>（二）政府采购情况</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2021年度政府采购支出总额33.12万元，其中：政府采购货物支出31.00万元、政府采购工程支出0.00万元、政府采购服务支出2.12万元。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30" w:name="_Toc8391"/>
      <w:bookmarkStart w:id="31"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44713.83（平方米），价值7,032.16万元。车辆10辆，价值418.27万元，其中：副部（省）级及以上领导用车0辆、主要领导干部用车0辆、机要通信用车0辆、应急保障用车0辆、执法执勤用车1辆、特种专业技术用车0辆、离退休干部用车0辆、其他用车9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文化演出、景区垃圾清理及其他办公车辆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单位价值50万元以上通用设备2台（套）、单位价值100万元以上专用设备0台（套）。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2" w:name="_Toc435"/>
      <w:bookmarkStart w:id="33"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2"/>
      <w:bookmarkEnd w:id="33"/>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15</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2269.05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一是绩效运行监控得到良好发挥，确保绩效目标如期保质保量的实现；二是加强绩效目标管理，预算编制要结合实际，实事求是，使项目部门设置和单位整体绩效更加合理化</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预算编制工作更需细化，合理性有待提供</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严格管理，控制“三公”经费和公用经费的支出认真贯彻落实中央八项规定，自治区十项规定要求，严格按照规定开支有关经费，确保单位“三公”经费开支合理、合法、合规；二是规范财务运行，加强预算支出管理，严格按照规定程序向财务部门申请用款，资金使用严格旅行审批程序，确保资金支出合法、真实。具体项目自评情况附项目支出绩效自评表</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4" w:name="_Toc24143"/>
      <w:bookmarkStart w:id="35" w:name="_Toc3250"/>
      <w:bookmarkStart w:id="36" w:name="_Toc28903"/>
      <w:bookmarkStart w:id="37" w:name="_Toc22784"/>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183"/>
      <w:bookmarkStart w:id="39" w:name="_Toc6062"/>
      <w:r>
        <w:rPr>
          <w:rFonts w:hint="eastAsia" w:ascii="黑体" w:hAnsi="黑体" w:eastAsia="黑体" w:cs="宋体"/>
          <w:bCs/>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0364"/>
      <w:bookmarkStart w:id="41" w:name="_Toc24532"/>
      <w:r>
        <w:rPr>
          <w:rFonts w:hint="eastAsia" w:ascii="黑体" w:hAnsi="黑体" w:eastAsia="黑体" w:cs="宋体"/>
          <w:bCs/>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1304"/>
      <w:bookmarkStart w:id="43" w:name="_Toc32434"/>
      <w:r>
        <w:rPr>
          <w:rFonts w:hint="eastAsia" w:ascii="黑体" w:hAnsi="黑体" w:eastAsia="黑体" w:cs="宋体"/>
          <w:bCs/>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28786"/>
      <w:bookmarkStart w:id="45" w:name="_Toc14238"/>
      <w:r>
        <w:rPr>
          <w:rFonts w:hint="eastAsia" w:ascii="黑体" w:hAnsi="黑体" w:eastAsia="黑体" w:cs="宋体"/>
          <w:bCs/>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14869"/>
      <w:bookmarkStart w:id="47" w:name="_Toc10347"/>
      <w:r>
        <w:rPr>
          <w:rFonts w:hint="eastAsia" w:ascii="黑体" w:hAnsi="黑体" w:eastAsia="黑体" w:cs="宋体"/>
          <w:bCs/>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8884"/>
      <w:bookmarkStart w:id="49" w:name="_Toc5626"/>
      <w:r>
        <w:rPr>
          <w:rFonts w:hint="eastAsia" w:ascii="黑体" w:hAnsi="黑体" w:eastAsia="黑体" w:cs="宋体"/>
          <w:bCs/>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32663"/>
      <w:bookmarkStart w:id="51" w:name="_Toc29106"/>
      <w:r>
        <w:rPr>
          <w:rFonts w:hint="eastAsia" w:ascii="黑体" w:hAnsi="黑体" w:eastAsia="黑体" w:cs="宋体"/>
          <w:bCs/>
          <w:kern w:val="0"/>
          <w:sz w:val="32"/>
          <w:szCs w:val="32"/>
          <w:highlight w:val="none"/>
        </w:rPr>
        <w:t>七、《一般公共预算财政拨款“三公”经费支出决算表》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2" w:name="_Toc5453"/>
      <w:bookmarkStart w:id="53" w:name="_Toc7643"/>
      <w:r>
        <w:rPr>
          <w:rFonts w:hint="eastAsia" w:ascii="黑体" w:hAnsi="黑体" w:eastAsia="黑体" w:cs="宋体"/>
          <w:bCs/>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wYWU0YTNhNjM0NDUzZWRkOGYxNjFkODcwNjIzNzcifQ=="/>
  </w:docVars>
  <w:rsids>
    <w:rsidRoot w:val="00000000"/>
    <w:rsid w:val="0131169A"/>
    <w:rsid w:val="01734C27"/>
    <w:rsid w:val="018A3155"/>
    <w:rsid w:val="01DD6073"/>
    <w:rsid w:val="02014C29"/>
    <w:rsid w:val="021E56FC"/>
    <w:rsid w:val="02890C73"/>
    <w:rsid w:val="04044ED1"/>
    <w:rsid w:val="041C5E18"/>
    <w:rsid w:val="04AA63C1"/>
    <w:rsid w:val="04EE377F"/>
    <w:rsid w:val="051C631E"/>
    <w:rsid w:val="0562142B"/>
    <w:rsid w:val="06792773"/>
    <w:rsid w:val="074F280E"/>
    <w:rsid w:val="075B1482"/>
    <w:rsid w:val="075F768F"/>
    <w:rsid w:val="07BA7C7F"/>
    <w:rsid w:val="07C3443C"/>
    <w:rsid w:val="07D469E4"/>
    <w:rsid w:val="08476613"/>
    <w:rsid w:val="084876D1"/>
    <w:rsid w:val="09026D66"/>
    <w:rsid w:val="090B11F4"/>
    <w:rsid w:val="094E58D0"/>
    <w:rsid w:val="0A2E4EB6"/>
    <w:rsid w:val="0A611FB0"/>
    <w:rsid w:val="0A6D05E4"/>
    <w:rsid w:val="0AC520F0"/>
    <w:rsid w:val="0B21162A"/>
    <w:rsid w:val="0B557DD5"/>
    <w:rsid w:val="0B981FCB"/>
    <w:rsid w:val="0BED1442"/>
    <w:rsid w:val="0C595DFB"/>
    <w:rsid w:val="0C7A5D15"/>
    <w:rsid w:val="0CD00AF9"/>
    <w:rsid w:val="0CF97A7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34D5671"/>
    <w:rsid w:val="14284AED"/>
    <w:rsid w:val="15CF1AC0"/>
    <w:rsid w:val="16C104A4"/>
    <w:rsid w:val="17083B88"/>
    <w:rsid w:val="1742163F"/>
    <w:rsid w:val="176E53C3"/>
    <w:rsid w:val="17D607C8"/>
    <w:rsid w:val="1805797E"/>
    <w:rsid w:val="18072193"/>
    <w:rsid w:val="18124080"/>
    <w:rsid w:val="182E453B"/>
    <w:rsid w:val="189A656F"/>
    <w:rsid w:val="198202DA"/>
    <w:rsid w:val="19AF7A44"/>
    <w:rsid w:val="19CD2F8C"/>
    <w:rsid w:val="1A6109EF"/>
    <w:rsid w:val="1B424E9E"/>
    <w:rsid w:val="1B627A3B"/>
    <w:rsid w:val="1BB07761"/>
    <w:rsid w:val="1C2A54A9"/>
    <w:rsid w:val="1C3737FD"/>
    <w:rsid w:val="1C88403A"/>
    <w:rsid w:val="1CB729A5"/>
    <w:rsid w:val="1CC56B97"/>
    <w:rsid w:val="1D34682A"/>
    <w:rsid w:val="1D4A73D5"/>
    <w:rsid w:val="1D9C2D67"/>
    <w:rsid w:val="1DAF458D"/>
    <w:rsid w:val="1DE34574"/>
    <w:rsid w:val="1EDE4A80"/>
    <w:rsid w:val="1F77716A"/>
    <w:rsid w:val="1F825A11"/>
    <w:rsid w:val="20393D50"/>
    <w:rsid w:val="206034DD"/>
    <w:rsid w:val="20DF6845"/>
    <w:rsid w:val="227267D4"/>
    <w:rsid w:val="233B4784"/>
    <w:rsid w:val="233E5923"/>
    <w:rsid w:val="236A6149"/>
    <w:rsid w:val="23B146B9"/>
    <w:rsid w:val="240038BA"/>
    <w:rsid w:val="240A65B7"/>
    <w:rsid w:val="248253CE"/>
    <w:rsid w:val="24B5722C"/>
    <w:rsid w:val="258D4D91"/>
    <w:rsid w:val="25D05D00"/>
    <w:rsid w:val="263D5951"/>
    <w:rsid w:val="265E582C"/>
    <w:rsid w:val="26E147D1"/>
    <w:rsid w:val="27004B43"/>
    <w:rsid w:val="27B248A0"/>
    <w:rsid w:val="283F1644"/>
    <w:rsid w:val="287C6FB4"/>
    <w:rsid w:val="28B4796C"/>
    <w:rsid w:val="29770D57"/>
    <w:rsid w:val="29A000F0"/>
    <w:rsid w:val="29D21E13"/>
    <w:rsid w:val="2A053397"/>
    <w:rsid w:val="2A300990"/>
    <w:rsid w:val="2AB554B8"/>
    <w:rsid w:val="2B0377CD"/>
    <w:rsid w:val="2B6B66AA"/>
    <w:rsid w:val="2BFE2EF0"/>
    <w:rsid w:val="2C1E18A5"/>
    <w:rsid w:val="2C604703"/>
    <w:rsid w:val="2CAC101B"/>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3A65140"/>
    <w:rsid w:val="3401552E"/>
    <w:rsid w:val="354A37A9"/>
    <w:rsid w:val="36273CF4"/>
    <w:rsid w:val="36827C07"/>
    <w:rsid w:val="36AA5F52"/>
    <w:rsid w:val="36C058A7"/>
    <w:rsid w:val="36E000FD"/>
    <w:rsid w:val="374146AF"/>
    <w:rsid w:val="37D36EBD"/>
    <w:rsid w:val="399731E4"/>
    <w:rsid w:val="3A08109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3E54748D"/>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40630A"/>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847CD1"/>
    <w:rsid w:val="4DA93660"/>
    <w:rsid w:val="4DD406E5"/>
    <w:rsid w:val="4DF31F55"/>
    <w:rsid w:val="4E535897"/>
    <w:rsid w:val="4F195BC9"/>
    <w:rsid w:val="4F714843"/>
    <w:rsid w:val="4FAD061B"/>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73EE6"/>
    <w:rsid w:val="535F2703"/>
    <w:rsid w:val="53AB5B1E"/>
    <w:rsid w:val="548F2D9C"/>
    <w:rsid w:val="549741F3"/>
    <w:rsid w:val="55AB329D"/>
    <w:rsid w:val="56146D24"/>
    <w:rsid w:val="56547F9B"/>
    <w:rsid w:val="568D63A8"/>
    <w:rsid w:val="569D71D3"/>
    <w:rsid w:val="570E289D"/>
    <w:rsid w:val="57211AEC"/>
    <w:rsid w:val="57AF4592"/>
    <w:rsid w:val="5802559C"/>
    <w:rsid w:val="5813797A"/>
    <w:rsid w:val="58344842"/>
    <w:rsid w:val="588E1D40"/>
    <w:rsid w:val="58E4063C"/>
    <w:rsid w:val="58F356A0"/>
    <w:rsid w:val="58FB4926"/>
    <w:rsid w:val="59421041"/>
    <w:rsid w:val="5A477CBB"/>
    <w:rsid w:val="5A8C5C64"/>
    <w:rsid w:val="5B0A3C7C"/>
    <w:rsid w:val="5C145D5F"/>
    <w:rsid w:val="5C8850C2"/>
    <w:rsid w:val="5DE43C4B"/>
    <w:rsid w:val="5E256662"/>
    <w:rsid w:val="5E8D0FF0"/>
    <w:rsid w:val="5EA92E5B"/>
    <w:rsid w:val="5F312B5A"/>
    <w:rsid w:val="5F3A544C"/>
    <w:rsid w:val="5F421F4F"/>
    <w:rsid w:val="5F932967"/>
    <w:rsid w:val="5FA74F91"/>
    <w:rsid w:val="5FF57C5C"/>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2C3B26"/>
    <w:rsid w:val="67CB7D39"/>
    <w:rsid w:val="686644BA"/>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4E3809"/>
    <w:rsid w:val="72EE56CB"/>
    <w:rsid w:val="73406D5B"/>
    <w:rsid w:val="737825D2"/>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5660</Words>
  <Characters>6437</Characters>
  <Lines>0</Lines>
  <Paragraphs>0</Paragraphs>
  <TotalTime>1</TotalTime>
  <ScaleCrop>false</ScaleCrop>
  <LinksUpToDate>false</LinksUpToDate>
  <CharactersWithSpaces>6594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2023-09-22T05:51:22Z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58240A701613457BB24A0FE0F01EE863</vt:lpwstr>
  </property>
</Properties>
</file>