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新疆塔城地区裕民县医疗保障局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实施国家、自治区和地区医疗保险、生育保险、医疗保障救助等医疗保障制度，落实医疗保障相关政策、规划和标准并组织实施；实施医疗保险、人身意外伤害保险、大额医疗补助、公务员医疗补助、企事业单位补充医疗保险、享受国务院特殊津贴专家、离休人员和优抚对象医疗保障政策、管理办法并组织实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（二）组织拟订并实施医疗保障基金监督管理办法，建立健全医疗保障基金安全防控机制，承担推进医疗保障基金支付方式改革工作，编制全县医疗保障基金预决算草案。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（三）组织拟订医疗保障筹资和待遇政策，完善动态调整和区域调剂平衡机制，统筹城乡医疗保障待遇标准，建立健全与筹资水平相适应的待遇调整机制。拟订贯彻长期护理保险制度改革的方案并组织实施。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组织拟订药品、医用耗材价格和医疗服务项目、医疗服务设施收费等政策并监督实施，执行自治区、地区制定的药品、医用耗材的招标釆购政策并监督实施，建立医保支付医药服务价格合理确定和动态调整机制，建立市场主导的社会医药服务价格形成机制，建立医药服务价格信息监测和信息发布制度，指导药品、医用耗材招标采购平台建设。</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（五）组织实施药品、医用耗材、医疗服务项目、医疗服务设施等医保目录和支付标准，建立动态调整机制。</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制定定点医药机构协议和支付管理办法并组织实施，建立健全医疗保障信用评价体系和信息披露制度，监督管理纳入医保范围内的医疗服务行为和医疗费用，依法查处医疗保障、生育保险领域违法违规行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（七）负责医疗保障经办管理、公共服务体系和信息化建设。贯彻落实国家和自治区跨省异地就医管理和费用结算政策，贯彻落实全疆内异地就医和费用结算政策。建立健全医疗保障关系转移接续制度。</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（八）完成县党委、县人民政府交办的其他事项。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新疆塔城地区裕民县医疗保障局2021年度，实有人数19人，其中：在职人员18人，离休人员0人，退休人员1人。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医疗保障局部门决算包括：新疆塔城地区裕民县医疗保障局决算。单位无下属预算单位，下设6个处室，分别是：办公室、财务室、稽核实、待遇审核科、基金征缴科、综合复核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2021年度本年收入235.35万元，与上年相比，增加14.04万元，增长6.34%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本年3月4月分别考入2人，人员增加本年收入增长</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本年支出235.35万元，与上年相比，增加14.04万元，增长6.34%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本年3月4月分别考入2人，人员增加本年支出增长</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235.35万元，其中：财政拨款收入235.35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2021年度本年支出235.35万元，其中：基本支出228.85万元，占97.24%；项目支出6.50万元，占2.76%；上缴上级支出0.00万元，占0.00%；经营支出0.00万元，占0.00%；对附属单位补助支出0.00万元，占0.00%。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2021年度财政拨款收入235.35万元，与上年相比，增加14.04万元，增长6.34%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本年3月4月分别考入2人，人员增加本年收入增长</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财政拨款支出235.35万元，与上年相比，增加14.04万元，增长6.34%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本年3月4月分别考入2人，人员增加本年支出增长</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与年初预算数相比情况：财政拨款收入年初预算数213.16万元，决算数235.35万元，预决算差异率10.41%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本年3月4月分别考入2人，人员增加本年收入增长</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财政拨款支出年初预算数213.16万元，决算数235.35万元，预决算差异率10.41%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本年3月4月分别考入2人，人员增加本年支出增长</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2021年度一般公共预算财政拨款支出235.35万元。按功能分类科目项级科目公开，其中：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行政单位离退休0.69万元;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机关事业单位基本养老保险缴费支出20.30万元;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行政单位医疗11.95万元;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2101501 行政运行179.66万元;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2101506 医疗保障经办事务1.50万元;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住房公积金14.56万元;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2021年度一般公共预算财政拨款基本支出228.85万元，其中：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217.22万元，包括：基本工资36万元、津贴补贴73.46万元、奖金23.87万元、机关事业单位基本养老保险缴费20.30万元、职工基本医疗保险缴费1.81万元、公务员医疗补助缴费1.69万元、其他社会保障缴费43.64万元、住房公积金14.56万元、退休费0.26万元、生活补助1.20万元、医疗费补助0.43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公用经费11.62万元，包括：电费0.44万元、办公费5.16万元、邮电费0.67、差旅费0.34、工会经费2.28、福利费0.89、公务用车运行维护费1.42万元、办公设备购置0.42万元。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2021年度一般公共预算“三公”经费支出决算1.42万元，比上年减少0.58万元，降低29.00%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主要原因是压缩三公经费节约经费支出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本年度与上年无此项预算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公务用车购置及运行维护费支出1.42万元，占100%，比上年减少0.58万元，降低29.00%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主要原因是：压缩三公经费节约经费支出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本年度与上年无此项预算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本年度与上年无此项预算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公务用车购置及运行维护费1.42万元，其中，公务用车购置费0.00万元，公务用车运行维护费1.42万元。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车辆燃料费、保险费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本年度与上年无此项预算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与年初预算数相比情况：一般公共预算“三公”经费支出年初预算数2.00万元，决算数1.42万元，预决算差异率-29.00%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本年没有因公出国（境）预算、决算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本年没有安排公务用车购置预算、决算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公务用车运行费预算数2.00万元，决算数1.42万元，预决算差异率-29.00%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本年没有安排公务接待费预算、决算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2021年度新疆塔城地区裕民县医疗保障局（行政单位和参照公务员法管理事业单位）机关运行经费支出11.62万元，比上年减少11.40万元，降低49.52%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本年固定资产购置比上年减少9.8万元，本年度节约资金，部分办公经费没有支付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2021年度政府采购支出总额1.32万元，其中：政府采购货物支出1.32万元、政府采购工程支出0.00万元、政府采购服务支出0.00万元。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15.98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bookmarkStart w:id="52" w:name="_GoBack"/>
      <w:bookmarkEnd w:id="52"/>
      <w:r>
        <w:rPr>
          <w:rFonts w:hint="eastAsia" w:ascii="仿宋_GB2312" w:eastAsia="仿宋_GB2312"/>
          <w:color w:val="auto"/>
          <w:sz w:val="32"/>
          <w:szCs w:val="32"/>
          <w:highlight w:val="none"/>
          <w:lang w:val="en-US" w:eastAsia="zh-CN"/>
        </w:rPr>
        <w:t>公务用车1辆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6.5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2021年“访惠聚”经费5万元，医保局驻加勒克孜阿尕什村工作经费项目取得的成效：1、加勒克孜阿尕什村受益人数906人。2、驻村工作人数4人。3、为群众办好事覆盖率≥90%。4、访惠聚工作经费5万元，用于环境整治、房屋村道修缮、办公设施更新等2.5万元，办公经费1.25万元，访贫问苦经费1.25万元。5、提高群众对党和国家的认同感。6、受益村民满意度≥95%。已圆满完成项目预期目标；&lt;w:br /&gt;二是医疗保险全民参保及医疗服务工作经费1.5万元，医疗保险全民参保及医疗服务工作经费项目取得的成效：1、完成基本医疗保险参保人数4.7万人。2、完成生育保险参保人数0.5万人。3、医疗政策知晓率有所提升。4、减轻参保人员就医经济负担，缓解社会矛盾逐步改善。5、基本医疗保险参保群众满意度≥80%</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一是全过程预算绩效管理制度体系不健全；二是全面推进预算绩效管理工作贯彻不到位</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高度重视，加强领导，精心组织，积极开展绩效跟踪监控，及时纠偏，确保绩效目标实现；财政管理部门对各部门绩效自评工作进行指导、监督、检查，积极运用评价结果，提高资金使用效率；二是加大预算绩效评价公开力度</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CA02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EEE59A6"/>
    <w:rsid w:val="1F77716A"/>
    <w:rsid w:val="1F825A11"/>
    <w:rsid w:val="1FE56224"/>
    <w:rsid w:val="206034DD"/>
    <w:rsid w:val="20DF6845"/>
    <w:rsid w:val="233B4784"/>
    <w:rsid w:val="233E5923"/>
    <w:rsid w:val="236A6149"/>
    <w:rsid w:val="23B146B9"/>
    <w:rsid w:val="240038BA"/>
    <w:rsid w:val="240A65B7"/>
    <w:rsid w:val="2436218B"/>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850B8E"/>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296EB6"/>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39743A"/>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227D09"/>
    <w:rsid w:val="72EE56CB"/>
    <w:rsid w:val="73406D5B"/>
    <w:rsid w:val="738E33C3"/>
    <w:rsid w:val="73FB6630"/>
    <w:rsid w:val="750B5BF1"/>
    <w:rsid w:val="756B5E6B"/>
    <w:rsid w:val="75B51FC0"/>
    <w:rsid w:val="75B60031"/>
    <w:rsid w:val="76DD091D"/>
    <w:rsid w:val="77466E92"/>
    <w:rsid w:val="774B26E2"/>
    <w:rsid w:val="77720CA8"/>
    <w:rsid w:val="77D47EFC"/>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5189</Words>
  <Characters>5706</Characters>
  <Lines>0</Lines>
  <Paragraphs>0</Paragraphs>
  <TotalTime>0</TotalTime>
  <ScaleCrop>false</ScaleCrop>
  <LinksUpToDate>false</LinksUpToDate>
  <CharactersWithSpaces>5757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2023-09-19T09:03:44Z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