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新疆塔城地区裕民县军粮供应站2021年度部门决算公开说明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军粮供应站严格执行军粮供应政策,承担着本县驻县部队的军粮供应任务,按时、按质、按量、按品种保证部队供应,按规定使用军粮供应资金,积极开展优质服务及完成县委、县人民政府及上级主管部门交办的其他工作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新疆塔城地区裕民县军粮供应站2021年度，实有人数4人，其中：在职人员3人，离休人员0人，退休人员1人。</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从部门决算单位构成看，新疆塔城地区裕民县军粮供应站部门决算包括：新疆塔城地区裕民县军粮供应站决算。单位无下属预算单位，下设1个处室，分别是：办公室。</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br w:type="page"/>
      </w:r>
    </w:p>
    <w:p>
      <w:pPr>
        <w:ind w:left="1680" w:firstLine="420"/>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6" w:name="_Toc25314"/>
      <w:bookmarkStart w:id="7" w:name="_Toc12566"/>
      <w:r>
        <w:rPr>
          <w:rFonts w:hint="eastAsia" w:ascii="黑体" w:hAnsi="黑体" w:eastAsia="黑体" w:cs="宋体"/>
          <w:bCs/>
          <w:kern w:val="0"/>
          <w:sz w:val="32"/>
          <w:szCs w:val="32"/>
        </w:rPr>
        <w:t>一、收入支出决算总体情况说明</w:t>
      </w:r>
      <w:bookmarkEnd w:id="6"/>
      <w:bookmarkEnd w:id="7"/>
    </w:p>
    <w:p>
      <w:pPr>
        <w:ind w:firstLine="640" w:firstLineChars="200"/>
        <w:rPr>
          <w:rFonts w:ascii="仿宋_GB2312" w:eastAsia="仿宋_GB2312"/>
          <w:sz w:val="32"/>
          <w:szCs w:val="32"/>
        </w:rPr>
      </w:pPr>
      <w:r>
        <w:rPr>
          <w:rFonts w:hint="eastAsia" w:ascii="仿宋_GB2312" w:eastAsia="仿宋_GB2312"/>
          <w:sz w:val="32"/>
          <w:szCs w:val="32"/>
        </w:rPr>
        <w:t>2021年度本年收入41.02万元，与上年相比，增加3.16万元，增长8.35%，主要原因是：本年度在职人员调资，相关经费收入增加。本年支出41.02万元，与上年相比，增加3.16万元，增长8.35%，主要原因是：本年度在职人员调资，相关经费收入增加。</w:t>
      </w:r>
    </w:p>
    <w:p>
      <w:pPr>
        <w:ind w:firstLine="640" w:firstLineChars="200"/>
        <w:outlineLvl w:val="1"/>
        <w:rPr>
          <w:rFonts w:ascii="黑体" w:hAnsi="黑体" w:eastAsia="黑体" w:cs="宋体"/>
          <w:bCs/>
          <w:kern w:val="0"/>
          <w:sz w:val="32"/>
          <w:szCs w:val="32"/>
        </w:rPr>
      </w:pPr>
      <w:bookmarkStart w:id="8" w:name="_Toc1979"/>
      <w:bookmarkStart w:id="9" w:name="_Toc12142"/>
      <w:r>
        <w:rPr>
          <w:rFonts w:hint="eastAsia" w:ascii="黑体" w:hAnsi="黑体" w:eastAsia="黑体" w:cs="宋体"/>
          <w:bCs/>
          <w:kern w:val="0"/>
          <w:sz w:val="32"/>
          <w:szCs w:val="32"/>
        </w:rPr>
        <w:t>二、收入决算情况说明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2021年度本年收入41.02万元，其中：财政拨款收入41.02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bCs/>
          <w:kern w:val="0"/>
          <w:sz w:val="32"/>
          <w:szCs w:val="32"/>
        </w:rPr>
      </w:pPr>
      <w:bookmarkStart w:id="10" w:name="_Toc27961"/>
      <w:bookmarkStart w:id="11" w:name="_Toc13201"/>
      <w:r>
        <w:rPr>
          <w:rFonts w:hint="eastAsia" w:ascii="黑体" w:hAnsi="黑体" w:eastAsia="黑体" w:cs="宋体"/>
          <w:bCs/>
          <w:kern w:val="0"/>
          <w:sz w:val="32"/>
          <w:szCs w:val="32"/>
        </w:rPr>
        <w:t>三、支出决算情况说明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2021年度本年支出41.02万元，其中：基本支出41.02万元，占100.00%；项目支出0.00万元，占0.00%；上缴上级支出0.00万元，占0.00%；经营支出0.00万元，占0.00%；对附属单位补助支出0.00万元，占0.00%。</w:t>
      </w:r>
    </w:p>
    <w:p>
      <w:pPr>
        <w:ind w:firstLine="640" w:firstLineChars="200"/>
        <w:outlineLvl w:val="1"/>
        <w:rPr>
          <w:rFonts w:ascii="黑体" w:hAnsi="黑体" w:eastAsia="黑体" w:cs="宋体"/>
          <w:bCs/>
          <w:kern w:val="0"/>
          <w:sz w:val="32"/>
          <w:szCs w:val="32"/>
        </w:rPr>
      </w:pPr>
      <w:bookmarkStart w:id="12" w:name="_Toc26564"/>
      <w:bookmarkStart w:id="13" w:name="_Toc4393"/>
      <w:r>
        <w:rPr>
          <w:rFonts w:hint="eastAsia" w:ascii="黑体" w:hAnsi="黑体" w:eastAsia="黑体" w:cs="宋体"/>
          <w:bCs/>
          <w:kern w:val="0"/>
          <w:sz w:val="32"/>
          <w:szCs w:val="32"/>
        </w:rPr>
        <w:t>四、财政拨款收入支出决算总体情况说明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2021年度财政拨款收入41.02万元，与上年相比，增加3.16万元，增长8.35%。主要原因是：本年度在职人员调资，相关经费收入增加。财政拨款支出41.02万元，与上年相比，增加3.16万元，增长8.35%，主要原因是：本年度在职人员调资，相关经费收入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39.44万元，决算数41.02万元，预决算差异率4.01%，主要原因是：本年度在职人员调资，相关经费收入增加。财政拨款支出年初预算数39.44万元，决算数41.02万元，预决算差异率4.01%，主要原因是：本年度在职人员调资，相关经费收入增加。</w:t>
      </w:r>
    </w:p>
    <w:p>
      <w:pPr>
        <w:ind w:firstLine="640" w:firstLineChars="200"/>
        <w:outlineLvl w:val="1"/>
        <w:rPr>
          <w:rFonts w:ascii="黑体" w:hAnsi="黑体" w:eastAsia="黑体" w:cs="宋体"/>
          <w:bCs/>
          <w:kern w:val="0"/>
          <w:sz w:val="32"/>
          <w:szCs w:val="32"/>
        </w:rPr>
      </w:pPr>
      <w:bookmarkStart w:id="14" w:name="_Toc13833"/>
      <w:bookmarkStart w:id="15" w:name="_Toc20360"/>
      <w:r>
        <w:rPr>
          <w:rFonts w:hint="eastAsia" w:ascii="黑体" w:hAnsi="黑体" w:eastAsia="黑体" w:cs="宋体"/>
          <w:bCs/>
          <w:kern w:val="0"/>
          <w:sz w:val="32"/>
          <w:szCs w:val="32"/>
        </w:rPr>
        <w:t>五、一般公共预算财政拨款支出决算情况说明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2021年度一般公共预算财政拨款支出41.02万元。按功能分类科目项级科目公开，其中：</w:t>
      </w:r>
    </w:p>
    <w:p>
      <w:pPr>
        <w:rPr>
          <w:rFonts w:ascii="仿宋_GB2312" w:eastAsia="仿宋_GB2312"/>
          <w:b/>
          <w:bCs/>
          <w:sz w:val="32"/>
          <w:szCs w:val="32"/>
        </w:rPr>
      </w:pPr>
      <w:r>
        <w:rPr>
          <w:rFonts w:hint="eastAsia" w:ascii="仿宋_GB2312" w:eastAsia="仿宋_GB2312"/>
          <w:sz w:val="32"/>
          <w:szCs w:val="32"/>
        </w:rPr>
        <w:t xml:space="preserve">    2080501 行政单位离退休1.19万元;</w:t>
      </w:r>
      <w:r>
        <w:rPr>
          <w:rFonts w:hint="eastAsia" w:ascii="仿宋_GB2312" w:eastAsia="仿宋_GB2312"/>
          <w:sz w:val="32"/>
          <w:szCs w:val="32"/>
        </w:rPr>
        <w:br w:type="textWrapping"/>
      </w:r>
      <w:r>
        <w:rPr>
          <w:rFonts w:hint="eastAsia" w:ascii="仿宋_GB2312" w:eastAsia="仿宋_GB2312"/>
          <w:sz w:val="32"/>
          <w:szCs w:val="32"/>
        </w:rPr>
        <w:t xml:space="preserve">    2080505 机关事业单位基本养老保险缴费支出3.36万元;</w:t>
      </w:r>
      <w:r>
        <w:rPr>
          <w:rFonts w:hint="eastAsia" w:ascii="仿宋_GB2312" w:eastAsia="仿宋_GB2312"/>
          <w:sz w:val="32"/>
          <w:szCs w:val="32"/>
        </w:rPr>
        <w:br w:type="textWrapping"/>
      </w:r>
      <w:r>
        <w:rPr>
          <w:rFonts w:hint="eastAsia" w:ascii="仿宋_GB2312" w:eastAsia="仿宋_GB2312"/>
          <w:sz w:val="32"/>
          <w:szCs w:val="32"/>
        </w:rPr>
        <w:t xml:space="preserve">    2082805 部队供应31.29万元;</w:t>
      </w:r>
      <w:r>
        <w:rPr>
          <w:rFonts w:hint="eastAsia" w:ascii="仿宋_GB2312" w:eastAsia="仿宋_GB2312"/>
          <w:sz w:val="32"/>
          <w:szCs w:val="32"/>
        </w:rPr>
        <w:br w:type="textWrapping"/>
      </w:r>
      <w:r>
        <w:rPr>
          <w:rFonts w:hint="eastAsia" w:ascii="仿宋_GB2312" w:eastAsia="仿宋_GB2312"/>
          <w:sz w:val="32"/>
          <w:szCs w:val="32"/>
        </w:rPr>
        <w:t xml:space="preserve">    2101101 行政单位医疗1.96万元;</w:t>
      </w:r>
      <w:r>
        <w:rPr>
          <w:rFonts w:hint="eastAsia" w:ascii="仿宋_GB2312" w:eastAsia="仿宋_GB2312"/>
          <w:sz w:val="32"/>
          <w:szCs w:val="32"/>
        </w:rPr>
        <w:br w:type="textWrapping"/>
      </w:r>
      <w:r>
        <w:rPr>
          <w:rFonts w:hint="eastAsia" w:ascii="仿宋_GB2312" w:eastAsia="仿宋_GB2312"/>
          <w:sz w:val="32"/>
          <w:szCs w:val="32"/>
        </w:rPr>
        <w:t xml:space="preserve">    2101103 公务员医疗补助0.81万元;</w:t>
      </w:r>
      <w:r>
        <w:rPr>
          <w:rFonts w:hint="eastAsia" w:ascii="仿宋_GB2312" w:eastAsia="仿宋_GB2312"/>
          <w:sz w:val="32"/>
          <w:szCs w:val="32"/>
        </w:rPr>
        <w:br w:type="textWrapping"/>
      </w:r>
      <w:r>
        <w:rPr>
          <w:rFonts w:hint="eastAsia" w:ascii="仿宋_GB2312" w:eastAsia="仿宋_GB2312"/>
          <w:sz w:val="32"/>
          <w:szCs w:val="32"/>
        </w:rPr>
        <w:t xml:space="preserve">    2210201 住房公积金2.42万元。</w:t>
      </w:r>
    </w:p>
    <w:p>
      <w:pPr>
        <w:ind w:firstLine="640" w:firstLineChars="200"/>
        <w:outlineLvl w:val="1"/>
        <w:rPr>
          <w:rFonts w:ascii="黑体" w:hAnsi="黑体" w:eastAsia="黑体" w:cs="宋体"/>
          <w:bCs/>
          <w:kern w:val="0"/>
          <w:sz w:val="32"/>
          <w:szCs w:val="32"/>
        </w:rPr>
      </w:pPr>
      <w:bookmarkStart w:id="16" w:name="_Toc30870"/>
      <w:bookmarkStart w:id="17" w:name="_Toc11146"/>
      <w:r>
        <w:rPr>
          <w:rFonts w:hint="eastAsia" w:ascii="黑体" w:hAnsi="黑体" w:eastAsia="黑体" w:cs="宋体"/>
          <w:bCs/>
          <w:kern w:val="0"/>
          <w:sz w:val="32"/>
          <w:szCs w:val="32"/>
        </w:rPr>
        <w:t>六、一般公共预算财政拨款基本支出决算情况说明</w:t>
      </w:r>
      <w:bookmarkEnd w:id="16"/>
      <w:bookmarkEnd w:id="17"/>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2021年度一般公共预算财政拨款基本支出41.02万元，其中：</w:t>
      </w:r>
    </w:p>
    <w:p>
      <w:pPr>
        <w:ind w:firstLine="640" w:firstLineChars="200"/>
        <w:rPr>
          <w:rFonts w:ascii="仿宋_GB2312" w:eastAsia="仿宋_GB2312"/>
          <w:sz w:val="32"/>
          <w:szCs w:val="32"/>
        </w:rPr>
      </w:pPr>
      <w:r>
        <w:rPr>
          <w:rFonts w:hint="eastAsia" w:ascii="仿宋_GB2312" w:eastAsia="仿宋_GB2312"/>
          <w:sz w:val="32"/>
          <w:szCs w:val="32"/>
        </w:rPr>
        <w:t>人员经费38.13万元，包括：基本工资11.28万元、津贴补贴12.41万元、奖金0.30万元、绩效工资4.40万元、机关事业单位基本养老保险缴费3.36万元、职工基本医疗保险缴费1.96万元、公务员医疗补助缴费0.81万元、住房公积金2.42万元、退休费0.26万元、医疗费补助0.93万元。</w:t>
      </w:r>
    </w:p>
    <w:p>
      <w:pPr>
        <w:ind w:firstLine="640" w:firstLineChars="200"/>
        <w:rPr>
          <w:rFonts w:ascii="仿宋_GB2312" w:eastAsia="仿宋_GB2312"/>
          <w:sz w:val="32"/>
          <w:szCs w:val="32"/>
        </w:rPr>
      </w:pPr>
      <w:r>
        <w:rPr>
          <w:rFonts w:hint="eastAsia" w:ascii="仿宋_GB2312" w:eastAsia="仿宋_GB2312"/>
          <w:sz w:val="32"/>
          <w:szCs w:val="32"/>
        </w:rPr>
        <w:t>公用经费2.89万元，包括：办公费0.22万元、水费0.03万元、邮电费0.34万元、取暖费0.50万元、差旅费0.16万元、委托业务费0.50万元、工会经费0.40万元、福利费0.30万元、其他交通费用0.43万元。</w:t>
      </w:r>
    </w:p>
    <w:p>
      <w:pPr>
        <w:ind w:firstLine="640" w:firstLineChars="200"/>
        <w:outlineLvl w:val="1"/>
        <w:rPr>
          <w:rFonts w:ascii="黑体" w:hAnsi="黑体" w:eastAsia="黑体" w:cs="宋体"/>
          <w:bCs/>
          <w:kern w:val="0"/>
          <w:sz w:val="32"/>
          <w:szCs w:val="32"/>
        </w:rPr>
      </w:pPr>
      <w:bookmarkStart w:id="18" w:name="_Toc21518"/>
      <w:bookmarkStart w:id="19" w:name="_Toc7190"/>
      <w:r>
        <w:rPr>
          <w:rFonts w:hint="eastAsia" w:ascii="黑体" w:hAnsi="黑体" w:eastAsia="黑体" w:cs="宋体"/>
          <w:bCs/>
          <w:kern w:val="0"/>
          <w:sz w:val="32"/>
          <w:szCs w:val="32"/>
        </w:rPr>
        <w:t>七、一般公共预算财政拨款“三公”经费支出决算情况说明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2021年度一般公共预算“三公”经费支出决算0.00万元，比上年增加0.00万元，增长0.00%，主要原因是：我单位无“三公”经费收入及支出。其中，因公出国（境）费支出0.00万元，占0.00%，比上年增加0.00万元，增长0.00%，主要原因是：我单位无因公出国（境）费用支出；公务用车购置及运行维护费支出0.00万元，占0%，比上年增加0.00万元，增长0.00%，主要原因是：我单位无公务用车购置及运行维护费支出；公务接待费支出0.00万元，占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购置及运行维护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与年初预算数相比情况：一般公共预算“三公”经费支出年初预算数0.00万元，决算数0.00万元，预决算差异率0.00%，主要原因是：我单位无“三公”经费收入及支出。</w:t>
      </w:r>
      <w:r>
        <w:rPr>
          <w:rFonts w:hint="eastAsia" w:ascii="仿宋_GB2312" w:hAnsi="宋体" w:eastAsia="仿宋_GB2312" w:cs="宋体"/>
          <w:kern w:val="0"/>
          <w:sz w:val="32"/>
          <w:szCs w:val="32"/>
        </w:rPr>
        <w:t>其中：因公出国（境）费预算数0.00万元，决算数0.00万元，预决算差异率0.00%</w:t>
      </w:r>
      <w:r>
        <w:rPr>
          <w:rFonts w:hint="eastAsia" w:ascii="仿宋_GB2312" w:eastAsia="仿宋_GB2312"/>
          <w:sz w:val="32"/>
          <w:szCs w:val="32"/>
        </w:rPr>
        <w:t>，主要原因是：我单位无</w:t>
      </w:r>
      <w:r>
        <w:rPr>
          <w:rFonts w:hint="eastAsia" w:ascii="仿宋_GB2312" w:hAnsi="宋体" w:eastAsia="仿宋_GB2312" w:cs="宋体"/>
          <w:kern w:val="0"/>
          <w:sz w:val="32"/>
          <w:szCs w:val="32"/>
        </w:rPr>
        <w:t>因公出国（境）费预算数</w:t>
      </w:r>
      <w:r>
        <w:rPr>
          <w:rFonts w:hint="eastAsia" w:ascii="仿宋_GB2312" w:eastAsia="仿宋_GB2312"/>
          <w:sz w:val="32"/>
          <w:szCs w:val="32"/>
        </w:rPr>
        <w:t>收入及支出；</w:t>
      </w:r>
      <w:r>
        <w:rPr>
          <w:rFonts w:hint="eastAsia" w:ascii="仿宋_GB2312" w:hAnsi="宋体" w:eastAsia="仿宋_GB2312" w:cs="宋体"/>
          <w:kern w:val="0"/>
          <w:sz w:val="32"/>
          <w:szCs w:val="32"/>
        </w:rPr>
        <w:t>公务用车购置费预算数0.00万元，决算数0.00万元，预决算差异率0.00%</w:t>
      </w:r>
      <w:r>
        <w:rPr>
          <w:rFonts w:hint="eastAsia" w:ascii="仿宋_GB2312" w:eastAsia="仿宋_GB2312"/>
          <w:sz w:val="32"/>
          <w:szCs w:val="32"/>
        </w:rPr>
        <w:t>，主要原因是：我单位无</w:t>
      </w:r>
      <w:r>
        <w:rPr>
          <w:rFonts w:hint="eastAsia" w:ascii="仿宋_GB2312" w:hAnsi="宋体" w:eastAsia="仿宋_GB2312" w:cs="宋体"/>
          <w:kern w:val="0"/>
          <w:sz w:val="32"/>
          <w:szCs w:val="32"/>
        </w:rPr>
        <w:t>务用车购置费</w:t>
      </w:r>
      <w:r>
        <w:rPr>
          <w:rFonts w:hint="eastAsia" w:ascii="仿宋_GB2312" w:eastAsia="仿宋_GB2312"/>
          <w:sz w:val="32"/>
          <w:szCs w:val="32"/>
        </w:rPr>
        <w:t>收入及支出；</w:t>
      </w:r>
      <w:r>
        <w:rPr>
          <w:rFonts w:hint="eastAsia" w:ascii="仿宋_GB2312" w:hAnsi="宋体" w:eastAsia="仿宋_GB2312" w:cs="宋体"/>
          <w:kern w:val="0"/>
          <w:sz w:val="32"/>
          <w:szCs w:val="32"/>
        </w:rPr>
        <w:t>公务用车运行费预算数0.00万元，决算数0.00万元，预决算差异率0.00%</w:t>
      </w:r>
      <w:r>
        <w:rPr>
          <w:rFonts w:hint="eastAsia" w:ascii="仿宋_GB2312" w:eastAsia="仿宋_GB2312"/>
          <w:sz w:val="32"/>
          <w:szCs w:val="32"/>
        </w:rPr>
        <w:t>，主要原因是：我单位无</w:t>
      </w:r>
      <w:r>
        <w:rPr>
          <w:rFonts w:hint="eastAsia" w:ascii="仿宋_GB2312" w:hAnsi="宋体" w:eastAsia="仿宋_GB2312" w:cs="宋体"/>
          <w:kern w:val="0"/>
          <w:sz w:val="32"/>
          <w:szCs w:val="32"/>
        </w:rPr>
        <w:t>公务用车运行费</w:t>
      </w:r>
      <w:r>
        <w:rPr>
          <w:rFonts w:hint="eastAsia" w:ascii="仿宋_GB2312" w:eastAsia="仿宋_GB2312"/>
          <w:sz w:val="32"/>
          <w:szCs w:val="32"/>
        </w:rPr>
        <w:t>收入及支出；</w:t>
      </w:r>
      <w:r>
        <w:rPr>
          <w:rFonts w:hint="eastAsia" w:ascii="仿宋_GB2312" w:hAnsi="宋体" w:eastAsia="仿宋_GB2312" w:cs="宋体"/>
          <w:kern w:val="0"/>
          <w:sz w:val="32"/>
          <w:szCs w:val="32"/>
        </w:rPr>
        <w:t>公务接待费预算数0.00万元，决算数0.00万元，预决算差异率0.00%</w:t>
      </w:r>
      <w:r>
        <w:rPr>
          <w:rFonts w:hint="eastAsia" w:ascii="仿宋_GB2312" w:eastAsia="仿宋_GB2312"/>
          <w:sz w:val="32"/>
          <w:szCs w:val="32"/>
        </w:rPr>
        <w:t>，主要原因是：我单位无</w:t>
      </w:r>
      <w:r>
        <w:rPr>
          <w:rFonts w:hint="eastAsia" w:ascii="仿宋_GB2312" w:hAnsi="宋体" w:eastAsia="仿宋_GB2312" w:cs="宋体"/>
          <w:kern w:val="0"/>
          <w:sz w:val="32"/>
          <w:szCs w:val="32"/>
        </w:rPr>
        <w:t>公务接待费</w:t>
      </w:r>
      <w:r>
        <w:rPr>
          <w:rFonts w:hint="eastAsia" w:ascii="仿宋_GB2312" w:eastAsia="仿宋_GB2312"/>
          <w:sz w:val="32"/>
          <w:szCs w:val="32"/>
        </w:rPr>
        <w:t>收入及支出。</w:t>
      </w:r>
    </w:p>
    <w:p>
      <w:pPr>
        <w:ind w:firstLine="640" w:firstLineChars="200"/>
        <w:outlineLvl w:val="1"/>
        <w:rPr>
          <w:rFonts w:ascii="黑体" w:hAnsi="黑体" w:eastAsia="黑体" w:cs="宋体"/>
          <w:bCs/>
          <w:kern w:val="0"/>
          <w:sz w:val="32"/>
          <w:szCs w:val="32"/>
        </w:rPr>
      </w:pPr>
      <w:bookmarkStart w:id="20" w:name="_Toc7927"/>
      <w:bookmarkStart w:id="21" w:name="_Toc5810"/>
      <w:r>
        <w:rPr>
          <w:rFonts w:hint="eastAsia" w:ascii="黑体" w:hAnsi="黑体" w:eastAsia="黑体" w:cs="宋体"/>
          <w:bCs/>
          <w:kern w:val="0"/>
          <w:sz w:val="32"/>
          <w:szCs w:val="32"/>
        </w:rPr>
        <w:t>八、政府性基金预算收入支出决算情况说明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2" w:name="_Toc7314"/>
      <w:bookmarkStart w:id="23" w:name="_Toc1235"/>
      <w:r>
        <w:rPr>
          <w:rFonts w:hint="eastAsia" w:ascii="黑体" w:hAnsi="黑体" w:eastAsia="黑体" w:cs="宋体"/>
          <w:bCs/>
          <w:kern w:val="0"/>
          <w:sz w:val="32"/>
          <w:szCs w:val="32"/>
        </w:rPr>
        <w:t>十、其他重要事项的情况说明</w:t>
      </w:r>
      <w:bookmarkEnd w:id="22"/>
      <w:bookmarkEnd w:id="23"/>
    </w:p>
    <w:p>
      <w:pPr>
        <w:ind w:firstLine="640" w:firstLineChars="200"/>
        <w:outlineLvl w:val="2"/>
        <w:rPr>
          <w:rFonts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2021年度新疆塔城地区裕民县军粮供应站（行政单位和参照公务员法管理事业单位）机关运行经费支出2.89万元，比上年减少0.67万元，降低18.82%，主要原因是上年机关运行经费预算为4人，今年机关运行经费减少1人。</w:t>
      </w:r>
    </w:p>
    <w:p>
      <w:pPr>
        <w:ind w:firstLine="640" w:firstLineChars="200"/>
        <w:outlineLvl w:val="2"/>
        <w:rPr>
          <w:rFonts w:ascii="黑体" w:hAnsi="黑体" w:eastAsia="黑体"/>
          <w:sz w:val="32"/>
          <w:szCs w:val="32"/>
        </w:rPr>
      </w:pPr>
      <w:bookmarkStart w:id="26" w:name="_Toc227"/>
      <w:bookmarkStart w:id="27" w:name="_Toc26704"/>
      <w:r>
        <w:rPr>
          <w:rFonts w:hint="eastAsia" w:ascii="黑体" w:hAnsi="黑体" w:eastAsia="黑体"/>
          <w:sz w:val="32"/>
          <w:szCs w:val="32"/>
        </w:rPr>
        <w:t>（二）政府采购情况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2021年度政府采购支出总额0.00万元，其中：政府采购货物支出0.00万元、政府采购工程支出0.00万元、政府采购服务支出0.00万元。</w:t>
      </w:r>
    </w:p>
    <w:p>
      <w:pPr>
        <w:ind w:firstLine="640" w:firstLineChars="200"/>
        <w:rPr>
          <w:rFonts w:ascii="仿宋_GB2312" w:eastAsia="仿宋_GB2312"/>
          <w:sz w:val="32"/>
          <w:szCs w:val="32"/>
        </w:rPr>
      </w:pPr>
      <w:bookmarkStart w:id="28" w:name="_Toc8391"/>
      <w:bookmarkStart w:id="29" w:name="_Toc4591"/>
      <w:r>
        <w:rPr>
          <w:rFonts w:hint="eastAsia" w:ascii="仿宋_GB2312" w:eastAsia="仿宋_GB2312"/>
          <w:sz w:val="32"/>
          <w:szCs w:val="32"/>
        </w:rPr>
        <w:t>授予中小企业合同金额0.00万元，占政府采购支出总额的0%，其中：授予小微企业合同金额0.00万元，占政府采购支出总额的0.00%。</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根据预算绩效管理要求，我单位2021年度开展预算绩效评价项目0个，共涉及资金0</w:t>
      </w:r>
      <w:r>
        <w:rPr>
          <w:rFonts w:hint="eastAsia" w:ascii="仿宋_GB2312" w:eastAsia="仿宋_GB2312"/>
          <w:sz w:val="32"/>
          <w:szCs w:val="32"/>
          <w:lang w:val="en-US" w:eastAsia="zh-CN"/>
        </w:rPr>
        <w:t>.00</w:t>
      </w:r>
      <w:r>
        <w:rPr>
          <w:rFonts w:hint="eastAsia" w:ascii="仿宋_GB2312" w:eastAsia="仿宋_GB2312"/>
          <w:sz w:val="32"/>
          <w:szCs w:val="32"/>
        </w:rPr>
        <w:t>万元。预算绩效管理取得的成效：一是强化绩效目标管理。编制预算时要贯彻落实党中央、国务院的决策，自治区党委、自治区人民政府的安排部署和地委、行署、县委、政府的工作要求，分解细化各项工作任务，结合实际，全</w:t>
      </w:r>
      <w:bookmarkStart w:id="52" w:name="_GoBack"/>
      <w:bookmarkEnd w:id="52"/>
      <w:r>
        <w:rPr>
          <w:rFonts w:hint="eastAsia" w:ascii="仿宋_GB2312" w:eastAsia="仿宋_GB2312"/>
          <w:sz w:val="32"/>
          <w:szCs w:val="32"/>
        </w:rPr>
        <w:t>面设置部门和单位整体绩效目标。二是做好绩效运行监控，发现问题及时纠正，确保绩效目标如期保质保量实现，同时按预算绩效管理要求，切实提高预算执行效率。发现的问题及原因：未发现问题。下一步改进措施：一是加强学习，提高思想认识。组织单位财务人员认真学习《预算法》等相关法规、制度，提高单位领导对全面预算管理的重视程度，增强财务人员的预算意识。；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具体项目自评情况附项目支出绩效自评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bookmarkStart w:id="34" w:name="_Toc22784"/>
      <w:bookmarkStart w:id="35" w:name="_Toc28903"/>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8884"/>
      <w:bookmarkStart w:id="47" w:name="_Toc5626"/>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MyZTUwOTVhYWZlY2FmMjU5NzQyMmRmMjQ5Nzk4NzEifQ=="/>
  </w:docVars>
  <w:rsids>
    <w:rsidRoot w:val="008A3A60"/>
    <w:rsid w:val="00073E57"/>
    <w:rsid w:val="00164D6D"/>
    <w:rsid w:val="002C0606"/>
    <w:rsid w:val="00483E39"/>
    <w:rsid w:val="005E7A79"/>
    <w:rsid w:val="006B52E1"/>
    <w:rsid w:val="006B73F1"/>
    <w:rsid w:val="008A3A60"/>
    <w:rsid w:val="00944A2C"/>
    <w:rsid w:val="00A93DBC"/>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5E6783"/>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892</Words>
  <Characters>5086</Characters>
  <Lines>42</Lines>
  <Paragraphs>11</Paragraphs>
  <TotalTime>21</TotalTime>
  <ScaleCrop>false</ScaleCrop>
  <LinksUpToDate>false</LinksUpToDate>
  <CharactersWithSpaces>5967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2023-09-19T11:03:44Z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