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新疆塔城地区裕民县审计局</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bookmarkStart w:id="52" w:name="_GoBack"/>
      <w:bookmarkEnd w:id="52"/>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1、贯彻执行国家有关审计工作的方针政策，组织实施和协调全县的审计业务工作。根据县委、政府和上级审计机关要求确定审计工作重点，制定审计工作计划，研究制定本县的审计工作制度。</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2、向人民政府和县各有关部门通报审计情况，提出拟订和完善县域经济调控措施的建议。</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3、依据《中华人民共和国审计法》的规定，直接进行下列审计：</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（1）县财政预算执行情况和其他财政收支。</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（2）县人民政府各部门、直属事业单位及所属单位的财务收支。</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（3）各乡(镇)人民政府预算执行情况和决算。</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（4）受上级审计机关委托或授权审计县金融机构的资产、负债和损益状况。</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（5）县人民政府有关部门管理的和受人民政府委托由社会团体管理的社会保障资金、环境保护资金、社会捐赠资金及其他有关基金、资金的财务收支。</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（6）负责对国有企业的资产、负债、损益进行审计监督。</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（7）负责对国际组织和外国政府援助、贷款项目的财务收支进行审计监督。</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（8）负责对国家建设项目预算的执行情况和决算进行审计。</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（9）其它法律法规规定由县审计局进行的审计。</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4、向人民政府提交县本级预算执行情况和审计结果报告；受县人民政府委托向县人大常委会提出县本级预算执行情况和其他财政收支审计工作报告。</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5、组织实施对贯彻执行国家财经方针政策和县域经济调控措施情况的行业审计、专项审计和审计调查；按规定组织对党政领导干部和国有企业法定代表人进行经济责任审计。</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6、依法检查审计决定执行情况，督促纠正和处理审计发现的问题。协助配合有关部门查处相关重大案件。</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7、根据有关法律法规和人民政府规定，对县国有企业和国家重点建设项目进行审计监督；组织并对其他国有企业和国家重点建设项目的审计监督。</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8、承担上级审计机关授权的审计事项；组织实施对内部审计工作的指导和监督；监督社会审计组织的审计业务质量；组织审计专业培训。</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9、承担县经济责任联席会议办公室的职责。</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10、承担县委、县人民政府及上级主管部门交办的其他事项。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新疆塔城地区裕民县审计局2021年度，实有人数24人，其中：在职人员13人，离休人员0人，退休人员11人。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从部门决算单位构成看，新疆塔城地区裕民县审计局部门决算包括：新疆塔城地区裕民县审计局决算。单位无下属预算单位，下设6个处室，分别是：经责股、投资股、法制股、财金股、办公室、财务室。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2021年度本年收入225.08万元，与上年相比，减少32.95万元，降低12.77%</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坚决执行中央八项规定要求，厉行节约</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本年支出222.10万元，与上年相比，减少28.93万元，降低11.52%</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坚决执行中央八项规定要求，厉行节约</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225.08万元，其中：财政拨款收入201.39万元，占89.47%；上级补助收入0.00万元，占0.00%；事业收入0.00万元，占0.00%；经营收入0.00万元，占0.00%；附属单位上缴收入0.00万元，占0.00%；其他收入23.69万元，占10.53%。</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2021年度本年支出222.10万元，其中：基本支出222.10万元，占100.00%；项目支出0.00万元，占0.00%；上缴上级支出0.00万元，占0.00%；经营支出0.00万元，占0.00%；对附属单位补助支出0.00万元，占0.00%。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2021年度财政拨款收入201.39万元，与上年相比，减少7.61万元，降低3.64%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坚决执行中央八项规定要求，厉行节约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财政拨款支出201.39万元，与上年相比，减少7.61万元，降低3.64%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坚决执行中央八项规定要求，厉行节约</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与年初预算数相比情况：财政拨款收入年初预算数177.03万元，决算数201.39万元，预决算差异率13.76%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新增1名工作人员及审计事项增多</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财政拨款支出年初预算数177.03万元，决算数201.39万元，预决算差异率13.76%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新增1名工作人员及审计事项增多</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2021年度一般公共预算财政拨款支出201.39万元。按功能分类科目项级科目公开，其中：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2010801 行政运行140.69万元;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2010804 审计业务11.64万元;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2080501 行政单位离退休12.39万元;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机关事业单位基本养老保险缴费支出14.96万元;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行政单位医疗8.73万元;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公务员医疗补助2.22万元;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住房公积金10.75万元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2021年度一般公共预算财政拨款基本支出201.39万元，其中：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183.62万元，包括：基本工资48.17万元、津贴补贴57.49万元、奖金27.02万元、机关事业单位基本养老保险缴费14.96万元、职工基本医疗保险缴费8.73万元、公务员医疗补助缴费2.22万元、其他社会保障缴费1.88万元、住房公积金10.75万元、退休费2.39万元、医疗费补助10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公用经费17.77万元，包括：电费0.17万元、办公费3.18万元、邮电费2.04万元、差旅费0.56万元、劳务费9.99万元、工会经费0.68万元、福利费0.86万元、公务用车运行维护费0.28万元。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2021年度一般公共预算“三公”经费支出决算0.28万元，比上年减少1.72万元，降低86.00%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压缩“ 三公”经费支出，减少车辆出勤率，爱护车辆，减少维修费用支出，减少公务接待费用支出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公务用车购置及运行维护费支出0.28万元，占100%，比上年减少1.72万元，降低86.00%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减少车辆出勤率，爱护车辆减少维修费用支出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严格按照公务接待相关文件执行，压缩经费支出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eastAsia="zh-CN"/>
        </w:rPr>
        <w:t>无此项支出。</w:t>
      </w:r>
      <w:r>
        <w:rPr>
          <w:rFonts w:hint="eastAsia" w:ascii="仿宋_GB2312" w:eastAsia="仿宋_GB2312"/>
          <w:color w:val="auto"/>
          <w:sz w:val="32"/>
          <w:szCs w:val="32"/>
          <w:highlight w:val="none"/>
          <w:lang w:val="en-US" w:eastAsia="zh-CN"/>
        </w:rPr>
        <w:t>单位全年安排的因公出国（境）团组0个，因公出国（境）0人次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公务用车购置及运行维护费0.28万元，其中，公务用车购置费0.00万元，公务用车运行维护费0.28万元。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车辆加油、维修及车辆保险</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公务用车购置数0辆，公务用车保有量1辆。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eastAsia="zh-CN"/>
        </w:rPr>
        <w:t>：无此项支出。</w:t>
      </w:r>
      <w:r>
        <w:rPr>
          <w:rFonts w:hint="eastAsia" w:ascii="仿宋_GB2312" w:eastAsia="仿宋_GB2312"/>
          <w:color w:val="auto"/>
          <w:sz w:val="32"/>
          <w:szCs w:val="32"/>
          <w:highlight w:val="none"/>
          <w:lang w:val="en-US" w:eastAsia="zh-CN"/>
        </w:rPr>
        <w:t>单位全年安排的国内公务接待0批次，0人次</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与年初预算数相比情况：一般公共预算“三公”经费支出年初预算数2.00万元，决算数0.28万元，预决算差异率-86.00%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压缩“ 三公”经费支出，减少车辆出勤率，爱护车辆，减少维修费用支出，减少公务接待费用支出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本单位无因公出国（境）费支出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本单位无公务用车购置费支出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公务用车运行费预算数2.00万元，决算数0.28万元，预决算差异率-86.00%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减少车辆出勤率，爱护车辆，减少维修费用支出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本单位无公务接待费支出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2021年度新疆塔城地区裕民县审计局（行政单位和参照公务员法管理事业单位）机关运行经费支出17.77万元，比上年减少21.98万元，降低55.30%</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厉行节俭，压缩办公经费</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2021年度政府采购支出总额0.24万元，其中：政府采购货物支出0.00万元、政府采购工程支出0.00万元、政府采购服务支出0.24万元。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授予中小企业合同金额0.24万元，占政府采购支出总额的100%，其中：授予小微企业合同金额0.24万元，占政府采购支出总额的100.00%。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1辆，价值18.01万元，其中：副部（省）级及以上领导用车0辆、主要领导干部用车0辆、机要通信用车0辆、应急保障用车0辆、执法执勤用车0辆、特种专业技术用车0辆、离退休干部用车0辆、其他用车1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本单位开展审计业务等工作期间的业务用车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本单位无此项支出，无绩效项目</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本单位无此项支出，无绩效项目</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本单位无此项支出，无绩效项目</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5453"/>
      <w:bookmarkStart w:id="51" w:name="_Toc764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1MzFiZTFhYzNlNjk1YjhhZTQwZjdjNjU0YWMyYTUifQ=="/>
  </w:docVars>
  <w:rsids>
    <w:rsidRoot w:val="00000000"/>
    <w:rsid w:val="0131169A"/>
    <w:rsid w:val="01734C27"/>
    <w:rsid w:val="01DD6073"/>
    <w:rsid w:val="02014C29"/>
    <w:rsid w:val="02890C73"/>
    <w:rsid w:val="036867A7"/>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DA14708"/>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A974D0"/>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812A41"/>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200601"/>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590608"/>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3BF64F7"/>
    <w:rsid w:val="54360502"/>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6E870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5F64638"/>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4883</Words>
  <Characters>5366</Characters>
  <Lines>0</Lines>
  <Paragraphs>0</Paragraphs>
  <TotalTime>21</TotalTime>
  <ScaleCrop>false</ScaleCrop>
  <LinksUpToDate>false</LinksUpToDate>
  <CharactersWithSpaces>5485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2023-09-19T09:09:35Z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