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新疆塔城地区裕民县住房和城乡建设局</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left="0" w:leftChars="0" w:firstLine="419" w:firstLineChars="131"/>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1．主要职能。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一)承担保障城镇低收入家庭住房的责任。拟订住房保障相关措施并指导实施;拟订住房保障规划，会同有关部门做好国家、自治区、地区和县有关住房保障资金安排工作并组织实施;编制住房保障发展规划和年度计划并监督实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 承担推进住房制度改革的责任。指导住房建设和住房制度改革，拟订住房建设规划并指导实施: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(三)承担规范住房和城乡建设管理秩序的责任。拟订住房和城乡建设行业发展中长期规划，提出住房和城乡建设重大问题的建议;拟订住房和城乡建设规范性文件。</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承担规范房地产市场秩序、监督管理房地产市场的责任。会同或配合有关部门对房地产市场监管政策监执行；提出房地产业发展规划，负责监管执行房地开发、房屋销售、房屋权属登记、房屋租赁、房屋面积管理、房地产估价与经纪管理、物业管理、房屋征收拆迁等规章制度.</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监督管理建筑市场，规范各方主体行为.拟订工程建设、建筑业、勘察设计咨询业的行业发展中长期规划、改革方案井监督执行；组织实施房屋建筑和市政工程项目招投标活动的监督执法；负责勘察、设计、施工、工程监理法律法规规章执行的监督指导.</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拟订城市建设的规划并指导实施;负责市政公用事业特许经营、供排水、供气、供热和市容环境卫生、园林绿化法律法规规章执行的监督指导;指导城市市政公用设施建设、安全和应急管理;会同文物主管部门负责历史文化名城(镇、村)的保护和监督管理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(七)承担规范和指导村镇建设的责任。拟订村庄和小城镇建设计划并指导实施，指导农村住房建设和安全及危房改造，指导村庄和小城镇人居生态环境的改善工作，指导重点(示范)镇的建设。</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(八)承担建筑工程质量安全监管的责任,负责建筑工程质量、建筑安全生产和竣工验收备案的法律法规规章执行的监督指导，组织或参与工程重大质量、安全事故的调查处理。</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(九)组织编制城乡建设抗震减灾、市政设施安全管理规划并监督实施；负责住房城乡建设系统应急预案体系建设，建立重大危险源安全隐患定期排查、动态监控、限期整改机制; 组织城乡重要建(构)筑物抗震性能鉴定及抗震加固工作;承担城乡抗震防灾工作综合管理，指导震后重建工作;负责对各类房屋建筑及其附属设施和城市市政工程的抗震设计规范和消防设计的实施情况进行监督管理;负责房屋建筑、市政设施突发公共事件应急处置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 )承担推进建筑节能、城镇减排的责任。会同有关都门监督实施建筑节能的规划，负责建筑节能法律法规规章的监督指导:编制全县中长期建材发展散装水泥、新型墙体材料规划和年度计划，并组织实施检查和监督。</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(十一)承担房屋建筑工程和市政基础设施工程防雷装置竣工验收许可；履行建设工程防雷监管职责。</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 十二)贯彻执行国家关于人民防空建设的法律、法规和方针、政策，拟订县人民防空工作的办法和措施;编制县人民防空建设中长期规划和年度计划。会同有关部门审批人民防空建设与城市建设相结合规划；监督检查城市总体规划中贯彻落实人民防空要求及人民防空建设情况:依法对城市建设和重要经济目标落实人民防空要求、重要经济目标应急抢险抢修方案制定和落实情况进行监督检查。</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(十三) 负责县人民防空组织指挥、通信、警报、信息化建设与管理。制定和指导人民防空组织指挥体系建设;制定人民防空通信、警报和信息化建设规划与各种保障方案并组织实施;组织实施防空袭警报试鸣:协调指导建立利用防空警报发放灾情警报机制:组织制定县防空袭方案和各种保障方案;制定人口疏散计划和疏散地域建设规划;组织人民防空专项演习; 监督指导城市重要经济目标单位拟订和落实各种保障方案；负责编制县人民防空工程建设总体规划；负责县人民防空工程建设与管理:参与审查城市地下空间规划和开发利用，参与指导人民防空工程质量监督、工程维护管理。</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四)制定县人民防空组织指挥、通信人员训练大纲和训练计划并督促落实:指导有关部门制定防空防灾专业队伍建设规划和组织计划并督促落实；负责县人民防空宣传教育，普及人民防空知识和技能;制定县人民防空干部教育培训规划、计划并组织实施:负责县人民防空经费和国有资产管理;编制县人民防空经费预决算。</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(十五) 制定县人民防空平战结合发展规划，并指导和督促检查城市平战结合工作;战时协调建立人民防空指挥机构，组织开展城市人民防空袭斗争；指挥群众疏散掩蔽，发放空袭警报，实行灯火管制;协助有关部门消除空袭后果，恢复生产和生活秩序;负责组织指挥工程维护管理，在战时和发生突发事件时为各级领导开展组织指挥提供场所和便利条件;参与城市地下空间的规划、开发利用和审批工作职责;利用人民防空资源参与抢险救灾、应急救灾职责。</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(十六)负责组织城市管理专项检查和重大执法活动。承担对城市管理行政执法队伍实行统一业务领导和协调、检查、考核、监督。组织开展对城市管理执法部门规范化、标准化建设。</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(十七)完成县委、政府交办的其他任务。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新疆塔城地区裕民县住房和城乡建设局2021年度，实有人数37人，其中：在职人员16人，离休人员0人，退休人员21人。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住房和城乡建设局部门决算包括：新疆塔城地区裕民县住房和城乡建设局决算。单位无下属预算单位，下设7个处室，分别是：裕民县排水服务中心、裕民县建筑工程质量站、裕民县城乡建设服务中心、裕民县房产管理所、裕民县人防指挥信息保障中心、裕民县住房保障中心、裕民县建设工程消防设计审查验收技术服务中心。</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2021年度本年收入13840.52万元，与上年相比，增加2179.33万元，增长18.69%</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本年新增巴尔鲁克路建设项目、海棠路北延建设项目、城餐厨垃圾处理建设项目、供水设施改造项目等项目</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本年支出13840.52万元，与上年相比，增加2171.21万元，增长18.61%</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本年新增巴尔鲁克路建设项目、海棠路北延建设项目、城餐厨垃圾处理建设项目、供水设施改造项目等项目支出</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13840.52万元，其中：财政拨款收入13436.03万元，占97.08%；上级补助收入0.00万元，占0.00%；事业收入0.00万元，占0.00%；经营收入0.00万元，占0.00%；附属单位上缴收入0.00万元，占0.00%；其他收入404.49万元，占2.92%。</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2021年度本年支出13840.52万元，其中：基本支出414.33万元，占2.99%；项目支出13426.19万元，占97.01%；上缴上级支出0.00万元，占0.00%；经营支出0.00万元，占0.00%；对附属单位补助支出0.00万元，占0.00%。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2021年度财政拨款收入13436.03万元，与上年相比，增加2143.62万元，增长18.98%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本年新增</w:t>
      </w:r>
      <w:r>
        <w:rPr>
          <w:rFonts w:hint="eastAsia" w:ascii="仿宋_GB2312" w:eastAsia="仿宋_GB2312"/>
          <w:color w:val="auto"/>
          <w:sz w:val="32"/>
          <w:szCs w:val="32"/>
          <w:highlight w:val="none"/>
          <w:lang w:val="en-US" w:eastAsia="zh-CN"/>
        </w:rPr>
        <w:t>城餐厨垃圾处理建设项目、供水设施改造等项目</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财政拨款支出13436.03万元，与上年相比，增加2135.50万元，增长18.90%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本年新增餐厨垃圾处理建设、2021年供水设施改造等项目</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与年初预算数相比情况：财政拨款收入年初预算数2456.27万元，决算数13436.03万元，预决算差异率447.01%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本年新增城市停车场、海棠路北延建设项目、餐厨垃圾处理建设、2021年供水设施改造等项目</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财政拨款支出年初预算数2456.27万元，决算数13436.03万元，预决算差异率447.01%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本年新增城市停车场、海棠路北延建设项目、餐厨垃圾处理建设、2021年供水设施改造等项目</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2021年度一般公共预算财政拨款支出7281.77万元。按功能分类科目项级科目公开，其中：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2010302 一般行政管理事务10.00万元;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2050301 初等职业教育12.75万元;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2080501 行政单位离退休22.45万元;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机关事业单位基本养老保险缴费支出80.75万元;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机关事业单位职业年金缴费支出55.25万元;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行政单位医疗12.73万元;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公务员医疗补助4.38万元;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2110302 水体213.34万元;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2120101 行政运行223.10万元;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2120303 小城镇基础设施建设4100.16万元;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2120399 其他城乡社区公共设施支出120.00万元;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2129999 其他城乡社区支出608.00万元;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2210103 棚户区改造64.00万元;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2210105 农村危房改造203.75万元;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2210106 公共租赁住房97.54万元;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2210108 老旧小区改造168.00万元;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住房公积金15.66万元;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其他支出1269.90万元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2021年度一般公共预算财政拨款基本支出414.33万元，其中：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400.50万元，包括：基本工资72.36万元、津贴补贴77.28万元、奖金55.49万元、机关事业单位基本养老保险缴费80.75万元、职业年金缴费55.25万元、职工基本医疗保险缴费12.73万元、公务员医疗补助缴费4.38万元、其他社会保障缴费0.18万元、住房公积金15.66万元、其他工资福利支出3.60万元、退休费4.26万元、生活补助0.32万元、医疗费补助18.20万元、奖励金0.03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公用经费13.82万元，包括：办公费1.97万元、邮电费1.50万元、取暖费4.96万元、差旅费0.10万元、工会经费2.84万元、福利费2.20万元、公务用车运行维护费0.26万元</w:t>
      </w:r>
      <w:bookmarkStart w:id="52" w:name="_GoBack"/>
      <w:bookmarkEnd w:id="52"/>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2021年度一般公共预算“三公”经费支出决算0.26万元，比上年减少3.74万元，降低93.50%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2021年安居富民公务用车运行维护费2.00万元预算未下达，本年油费、车辆维修费支出较少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本单位无因公出国（境）费预算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公务用车运行维护费支出0.26万元，占100.00%，比上年减少3.74万元，降低93.50%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2021年安居富民公务用车运行维护费2.00万元预算未下达，本年油费、车辆维修费支出较少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公务用车购置及运行维护费0.26万元，其中，公务用车购置费0.00万元，公务用车运行维护费0.26万元。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车辆保险、车辆维修</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与年初预算数相比情况：一般公共预算“三公”经费支出年初预算数2.00万元，决算数0.26万元，预决算差异率-87.00%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本年无公务接待费支出，为贯彻落实过“紧日子”思想，大幅度压缩公务用车运行维护费支出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本单位无因公出国（境）费预算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本年无公务用车购置费预算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公务用车运行费预算数2.00万元，决算数0.26万元，预决算差异率-87.00%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本年大幅度压缩公务用车运行维护费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本单位无公务接待费支出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性基金预算财政拨款收入6154.26万元，与上年相比，减少1458.27万元，降低19.16%，主要原因是：本年裕民县日处理1万立方污水处理厂（二期）建设项目减少支出。政府性基金预算支出6154.26万元，与上年相比，减少1458.27万元，降低19.16%，主要原因是：本年裕民县日处理1万立方污水处理厂（二期）建设项目减少支出。</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政府性基金预算财政拨款支出6154.26万元。按功能分类科目项级科目公开，其中：</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2120801 征地和拆迁补偿支出13.57万元;</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2120803 城市建设支出602.69万元;</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2120810 棚户区改造支出831.98万元;</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2121399 其他城市基础设施配套费安排的支出20.00万元;</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2290402 其他地方自行试点项目收益专项债券收入安排的支出4000.00万元;</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2320416 城市基础设施配套费债务付息支出81.20万元;</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2320420 污水处理费债务付息支出81.20万元;</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2320433 棚户区改造专项债券付息支出323.62万元;</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2340108 生态环境治理200.00万元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2021年度新疆塔城地区裕民县住房和城乡建设局（行政单位和参照公务员法管理事业单位）机关运行经费支出13.82万元，比上年减少8.84万元，降低39.01%</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本年度安居富民公务用车运行维护费未安排，压缩办公经费支出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2021年度政府采购支出总额96.79万元，其中：政府采购货物支出96.06万元、政府采购工程支出0.00万元、政府采购服务支出0.73万元。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授予中小企业合同金额96.79万元，占政府采购支出总额的100.00%，其中：授予小微企业合同金额96.79万元，占政府采购支出总额的100.00%。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18587.21（平方米），价值3447.59万元。车辆22辆，价值539.57万元，其中：副部（省）级及以上领导用车0辆、主要领导干部用车0辆、机要通信用车0辆、应急保障用车0辆、执法执勤用车3辆、特种专业技术用车7辆、离退休干部用车0辆、其他用车12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园林环卫作业车、农村生活垃圾治理各乡垃圾车辆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单位价值50万元以上通用设备1台（套）、单位价值100万元以上专用设备0台（套）。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29</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13426.19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一是人员支出、公用经费、专项资金的支出及时、有效，财政资金保障及时；已完成年初制定的重点工作、工作计划、绩效目标等；达到了预期的效果；二是不存在违规发放人员工资、违规支出资金的情况</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一是年初预算工作不扎实；二是在工作期间调整经济分类及用途；三是部门决算公开不规范、不够细化等现象</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做好预算编制工作，进一步完善职工工资、福利费、社会保障费、住房公积金、公用经费等编制制度；二是科学合理确定人员支出定额和公用支出定额，确保财政资金正常开支；三是项目按计划组织实施，规划预决算填报及公开制度</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OGZjMGEzMzdkOGM1ZDU0MzFlN2M3NGY2OGQxOTQ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1E1892"/>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D06299"/>
    <w:rsid w:val="2DFD193C"/>
    <w:rsid w:val="2E9F6859"/>
    <w:rsid w:val="2EC544A9"/>
    <w:rsid w:val="2F0C26B1"/>
    <w:rsid w:val="2F116303"/>
    <w:rsid w:val="2FC614E6"/>
    <w:rsid w:val="30236790"/>
    <w:rsid w:val="30802486"/>
    <w:rsid w:val="31175173"/>
    <w:rsid w:val="314D12BC"/>
    <w:rsid w:val="316F250C"/>
    <w:rsid w:val="31BD13AC"/>
    <w:rsid w:val="31C63837"/>
    <w:rsid w:val="32082F98"/>
    <w:rsid w:val="326D6474"/>
    <w:rsid w:val="32A6143E"/>
    <w:rsid w:val="32F56799"/>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5B22736"/>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79260E"/>
    <w:rsid w:val="4DA93660"/>
    <w:rsid w:val="4DD406E5"/>
    <w:rsid w:val="4DF31F55"/>
    <w:rsid w:val="4E535897"/>
    <w:rsid w:val="4E59300A"/>
    <w:rsid w:val="4E785728"/>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3771410"/>
    <w:rsid w:val="543E2794"/>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CD50F28"/>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6BB0B84"/>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40272C"/>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621E8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6975</Words>
  <Characters>7876</Characters>
  <Lines>0</Lines>
  <Paragraphs>0</Paragraphs>
  <TotalTime>23</TotalTime>
  <ScaleCrop>false</ScaleCrop>
  <LinksUpToDate>false</LinksUpToDate>
  <CharactersWithSpaces>8067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那一抹笑</cp:lastModifiedBy>
  <dcterms:modified xsi:type="dcterms:W3CDTF">2023-09-19T05:41:38Z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58240A701613457BB24A0FE0F01EE863</vt:lpwstr>
  </property>
</Properties>
</file>