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新疆塔城地区裕民县巴尔鲁克山国有林管理局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1、保护和管理辖区内森林资源、国家级公益林、湿地、森林公园、生物多样性和野生动植物资源。</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2、开展辖区内森林防火、病虫害的防治、造林、森林培育、森林抚育、森林管护、森林资源监测、建立森林资源档案和林业科学研究。</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3、组织编制实施森林经营方案，开展多种经营，努力实施号天然林保护工程，促进森林资源培育的良性循环。</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 配合地方政府做好辖区林区经济发展、基础设施和公共服务建设、防汛等方面的协调工作。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5、承办主管部门下达的各项工作任务。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新疆塔城地区裕民县巴尔鲁克山国有林管理局2021年度，实有人数47人，其中：在职人员28人，离休人员0人，退休人员19人。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从部门决算单位构成看，新疆塔城地区裕民县巴尔鲁克山国有林管理局部门决算包括：新疆塔城地区裕民县巴尔鲁克山国有林管理局决算。单位无下属预算单位，下设2个处室，分别是：办公室、财务室。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2021年度本年收入395.64万元，与上年相比，增加39.04万元，增长10.95%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本年支出395.64万元，与上年相比，增加7.96万元，增长2.05%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395.64万元，其中：财政拨款收入381.34万元，占96.39%；上级补助收入0.00万元，占0.00%；事业收入0.00万元，占0.00%；经营收入0.00万元，占0.00%；附属单位上缴收入0.00万元，占0.00%；其他收入14.30万元，占3.61%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2021年度本年支出395.64万元，其中：基本支出381.34万元，占96.39%；项目支出14.30万元，占3.61%；上缴上级支出0.00万元，占0.00%；经营支出0.00万元，占0.00%；对附属单位补助支出0.00万元，占0.00%。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2021年度财政拨款收入395.64万元，与上年相比，增加39.04万元，增长10.95%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财政拨款支出395.64万元，与上年相比，增加7.96万元，增长2.05%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与年初预算数相比情况：财政拨款收入年初预算数362.88万元，决算数381.34万元，预决算差异率5.09%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财政拨款支出年初预算数362.88万元，决算数381.34万元，预决算差异率5.09%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val="en-US" w:eastAsia="zh-CN"/>
        </w:rPr>
        <w:t>二是人员工资普调增资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2021年度一般公共预算财政拨款支出381.34万元。按功能分类科目项级科目公开，其中：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事业单位离退休12.78万元;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机关事业单位基本养老保险缴费支出30.26万元;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2080506 机关事业单位职业年金缴费支出8.67万元;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事业单位医疗17.67万元;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2130204 事业机构290.21万元;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住房公积金21.74万元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2021年度一般公共预算财政拨款基本支出381.33万元，其中：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369.19万元，包括：基本工资197.06万元、津贴补贴16.53万元、奖金0.45万元、绩效工资43.60万元、机关事业单位基本养老保险缴费30.26万元、职业年金缴费8.67万元、职工基本医疗保险缴费22.25万元、住房公积金21.74万元、退休费3.27万元、抚恤金8.15万元、生活补助7.7万元、医疗费补助9.51万元。</w:t>
      </w:r>
      <w:bookmarkStart w:id="52" w:name="_GoBack"/>
      <w:bookmarkEnd w:id="5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公用经费12.14万元，包括：办公费4.41万元、工会经费3.69万元、福利费2.37万元、公务用车运行维护费1.68万元。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2021年度一般公共预算“三公”经费支出决算1.68万元，比上年减少2.21万元，降低56.78%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为贯彻落实过“紧日子”思想，大幅度压缩公务用车运行维护费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公务用车购置及运行维护费支出1.68万元，占100%，比上年减少2.21万元，降低56.81%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为贯彻落实过“紧日子”思想，大幅度压缩公务用车运行维护费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我单位本年无公务接待费用支出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公务用车购置及运行维护费1.68万元，其中，公务用车购置费0.00万元，公务用车运行维护费1.68万元。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公务用车购置费0.00万元，公务用车运行维护费1.68万元。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：车辆燃油费、</w:t>
      </w:r>
      <w:r>
        <w:rPr>
          <w:rFonts w:hint="eastAsia" w:ascii="仿宋_GB2312" w:eastAsia="仿宋_GB2312"/>
          <w:color w:val="auto"/>
          <w:sz w:val="32"/>
          <w:szCs w:val="32"/>
          <w:highlight w:val="none"/>
          <w:lang w:val="en-US" w:eastAsia="zh-CN"/>
        </w:rPr>
        <w:t>车辆修理费及车辆保险费等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与年初预算数相比情况：一般公共预算“三公”经费支出年初预算数4.00万元，决算数1.68万元，预决算差异率-58.00%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本单位无因公出国（境）费预算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公务用车运行费预算数4.00万元，决算数1.68万元，预决算差异率-58.00%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2021年度新疆塔城地区裕民县巴尔鲁克山国有林管理局（事业单位）公用经费12.14万元，比上年减少6.18万元，降低33.73%</w:t>
      </w:r>
      <w:r>
        <w:rPr>
          <w:rFonts w:hint="eastAsia" w:ascii="仿宋_GB2312" w:eastAsia="仿宋_GB2312"/>
          <w:color w:val="auto"/>
          <w:sz w:val="32"/>
          <w:szCs w:val="32"/>
          <w:highlight w:val="none"/>
        </w:rPr>
        <w:t>，主要原因</w:t>
      </w:r>
      <w:r>
        <w:rPr>
          <w:rFonts w:hint="eastAsia" w:ascii="仿宋_GB2312" w:eastAsia="仿宋_GB2312"/>
          <w:color w:val="auto"/>
          <w:sz w:val="32"/>
          <w:szCs w:val="32"/>
          <w:highlight w:val="none"/>
          <w:lang w:eastAsia="zh-CN"/>
        </w:rPr>
        <w:t>一</w:t>
      </w:r>
      <w:r>
        <w:rPr>
          <w:rFonts w:hint="eastAsia" w:ascii="仿宋_GB2312" w:eastAsia="仿宋_GB2312"/>
          <w:color w:val="auto"/>
          <w:sz w:val="32"/>
          <w:szCs w:val="32"/>
          <w:highlight w:val="none"/>
        </w:rPr>
        <w:t>是</w:t>
      </w:r>
      <w:r>
        <w:rPr>
          <w:rFonts w:hint="eastAsia" w:ascii="仿宋_GB2312" w:eastAsia="仿宋_GB2312"/>
          <w:color w:val="auto"/>
          <w:sz w:val="32"/>
          <w:szCs w:val="32"/>
          <w:highlight w:val="none"/>
          <w:lang w:val="en-US" w:eastAsia="zh-CN"/>
        </w:rPr>
        <w:t>2021年没有新增项目，二是本单位缩减办公经费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2021年度政府采购支出总额1.58万元，其中：政府采购货物支出0.29万元、政府采购工程支出0.00万元、政府采购服务支出1.29万元。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249.00（平方米），价值31.41万元。车辆3辆，价值56.10万元，其中：副部（省）级及以上领导用车0辆、主要领导干部用车0辆、机要通信用车0辆、应急保障用车0辆、执法执勤用车0辆、特种专业技术用车0辆、离退休干部用车0辆、其他用车3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14.30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上级工作要求，分解细化各项工作任务，结合实际，全面设置部门和单位整体绩效目标。二是做好绩效运行监控，发现问题及时纠正，确保绩效目标如期保质保量实现，同时按预算绩效管理要求，切实提高预算执行效率</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一是年初公用经费不足。无法保障日常办公支出。二是因工资调整导致人员经费预算不够精准</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3F43CA"/>
    <w:rsid w:val="0F7323F5"/>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005879"/>
    <w:rsid w:val="17083B88"/>
    <w:rsid w:val="1742163F"/>
    <w:rsid w:val="176E53C3"/>
    <w:rsid w:val="1805797E"/>
    <w:rsid w:val="18124080"/>
    <w:rsid w:val="182E453B"/>
    <w:rsid w:val="189A656F"/>
    <w:rsid w:val="198202DA"/>
    <w:rsid w:val="19AF7A44"/>
    <w:rsid w:val="1A6109EF"/>
    <w:rsid w:val="1B424E9E"/>
    <w:rsid w:val="1BB07761"/>
    <w:rsid w:val="1C2A54A9"/>
    <w:rsid w:val="1C3737FD"/>
    <w:rsid w:val="1C7E164A"/>
    <w:rsid w:val="1C88403A"/>
    <w:rsid w:val="1CB729A5"/>
    <w:rsid w:val="1CC56B97"/>
    <w:rsid w:val="1D34682A"/>
    <w:rsid w:val="1D4A73D5"/>
    <w:rsid w:val="1D9C2D67"/>
    <w:rsid w:val="1DAF458D"/>
    <w:rsid w:val="1DE34574"/>
    <w:rsid w:val="1F600BEE"/>
    <w:rsid w:val="1F77716A"/>
    <w:rsid w:val="1F825A11"/>
    <w:rsid w:val="206034DD"/>
    <w:rsid w:val="20DF6845"/>
    <w:rsid w:val="224906F5"/>
    <w:rsid w:val="22FD0E2C"/>
    <w:rsid w:val="233B4784"/>
    <w:rsid w:val="233E5923"/>
    <w:rsid w:val="236A6149"/>
    <w:rsid w:val="23B146B9"/>
    <w:rsid w:val="240038BA"/>
    <w:rsid w:val="240A65B7"/>
    <w:rsid w:val="263D5951"/>
    <w:rsid w:val="265E582C"/>
    <w:rsid w:val="26E147D1"/>
    <w:rsid w:val="27004B43"/>
    <w:rsid w:val="27115D70"/>
    <w:rsid w:val="271F134A"/>
    <w:rsid w:val="27B248A0"/>
    <w:rsid w:val="283A7E63"/>
    <w:rsid w:val="283F1644"/>
    <w:rsid w:val="287C6FB4"/>
    <w:rsid w:val="28B4796C"/>
    <w:rsid w:val="291A64C7"/>
    <w:rsid w:val="29770D57"/>
    <w:rsid w:val="29A000F0"/>
    <w:rsid w:val="29D21E13"/>
    <w:rsid w:val="2A053397"/>
    <w:rsid w:val="2AB554B8"/>
    <w:rsid w:val="2B0377CD"/>
    <w:rsid w:val="2B40157E"/>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7009D3"/>
    <w:rsid w:val="3C961378"/>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1DD79E2"/>
    <w:rsid w:val="42B76840"/>
    <w:rsid w:val="43316970"/>
    <w:rsid w:val="43696420"/>
    <w:rsid w:val="4421165A"/>
    <w:rsid w:val="44467526"/>
    <w:rsid w:val="44CF4655"/>
    <w:rsid w:val="454959B9"/>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912E47"/>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3A3D2A"/>
    <w:rsid w:val="5A8C5C64"/>
    <w:rsid w:val="5B0A3C7C"/>
    <w:rsid w:val="5C145D5F"/>
    <w:rsid w:val="5C8850C2"/>
    <w:rsid w:val="5DE43C4B"/>
    <w:rsid w:val="5E256662"/>
    <w:rsid w:val="5E8D0FF0"/>
    <w:rsid w:val="5EA92E5B"/>
    <w:rsid w:val="5EE41806"/>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0E6538"/>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4657</Words>
  <Characters>5164</Characters>
  <Lines>0</Lines>
  <Paragraphs>0</Paragraphs>
  <TotalTime>34</TotalTime>
  <ScaleCrop>false</ScaleCrop>
  <LinksUpToDate>false</LinksUpToDate>
  <CharactersWithSpaces>5221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2023-09-19T10:40:48Z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