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新疆塔城地区裕民县妇幼保健院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裕民县妇幼保健院主要职能：</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切实履行公共卫生职责，开展与妇女儿童健康密切相关的基本医疗服务。</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完成各级政府和卫生行政部门下达的指令性任务。</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掌握本辖区妇女儿童健康状况及影响因素，协助卫生行政部门制定本辖区妇幼卫生工作的相关政策、技术规范及各项规章制度。</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受卫生行政部门委托对本辖区各级各类医疗保健机构开展的妇幼卫生服务进行检查、考核与评价。</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负责指导和开展本辖区的妇幼保健健康教育与健康促进工作；组织实施本辖区母婴保健技术培训，对基层医疗保健机构开展业务指导，并提供技术支持。</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负责本辖区孕产妇死亡、婴儿及5岁以下儿童死亡、出生缺陷监测、妇幼卫生服务及技术管理等信息的收集、统计、分析、质量控制和汇总上报。</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开展妇女保健服务，包括青春期保健、婚前和孕前保健、孕产期保健、更年期保健、老年期保健。重点加强心理卫生咨询、营养指导、计划生育技术服务、生殖道感染/性传播疾病等妇女常见病防治。</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开展儿童保健服务，包括胎儿期、新生儿期、婴幼儿期、学龄前期及学龄期保健，受卫生行政部门委托对托幼园所卫生保健进行管理和业务指导。重点加强儿童早期综合发展、营养与喂养指导、生长发育监测、心理行为咨询、儿童疾病综合管理等儿童保健服务。</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开展妇幼卫生、生殖健康的应用性科学研究并组织推广适宜技术。</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提供以下基本医疗服务，包括妇女儿童常见疾病诊治、计划生育技术服务、产前筛查、新生儿疾病筛查、助产技术服务、产前诊断、产科并发症处理、新生儿危重症抢救和治疗等。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新疆塔城地区裕民县妇幼保健院2021年度，实有人数70人，其中：在职人员39人，离休人员0人，退休人员31人。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妇幼保健院部门决算包括：新疆塔城地区裕民县妇幼保健院决算。单位无下属预算单位，下设8个处室，分别是：药房、室化验、B超室、骨密度室、心电图、儿科诊室、围保科诊室、妇科诊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2021年度本年收入918.04万元，与上年相比，增加99.52万元，增长12.16%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2021年度人口和计划生育服务中心与本单位合并，经费增加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本年支出987.95万元，与上年相比，增加248.12万元，增长33.54%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2021年度人口和计划生育服务中心与本单位合并，经费支出增加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918.04万元，其中：财政拨款收入669.45万元，占72.92%；上级补助收入0.00万元，占0.00%；事业收入248.59万元，占27.08%；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2021年度本年支出987.95万元，其中：基本支出864.91万元，占87.55%；项目支出123.04万元，占12.45%；上缴上级支出0.00万元，占0.00%；经营支出0.00万元，占0.00%；对附属单位补助支出0.00万元，占0.00%。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2021年度财政拨款收入669.45万元，与上年相比，增加139.74万元，增长26.38%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2021年度人口和计划生育服务中心与本单位合并，经费增加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财政拨款支出669.45万元，与上年相比，增加139.54万元，增长26.33%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2021年度人口和计划生育服务中心与本单位合并，经费支出增加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与年初预算数相比情况：财政拨款收入年初预算数414.40万元，决算数669.45万元，预决算差异率61.55%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2021年度人口和计划生育服务中心与本单位合并，经费支出增加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财政拨款支出年初预算数414.40万元，决算数669.45万元，预决算差异率61.55%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2021年度人口和计划生育服务中心与本单位合并，经费支出增加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2021年度一般公共预算财政拨款支出669.45万元。按功能分类科目项级科目公开，其中：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事业单位离退休22.17万元;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机关事业单位基本养老保险缴费支出49.37万元;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2100403 妇幼保健机构332.95万元;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基本公共卫生服务104.05万元;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重大公共卫生服务10.37万元;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其他公共卫生支出8.62万元;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计划生育服务77.66万元;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事业单位医疗28.80万元;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住房公积金35.45万元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2021年度一般公共预算财政拨款基本支出546.41万元，其中：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538.92万元，包括：基本工资180.95万元、津贴补贴167.09万元、奖金50.55万元、机关事业单位基本养老保险缴费49.37万元、职工基本医疗保险缴费21.53万元、其他社会保障缴费2.76万元、住房公积金35.45万元、医疗费4.29万元、退休费5.95万元、医疗费补助19.18万元、其他对个人和家庭的补助1.80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公用经费7.49万元，包括：工会经费5.44万元、福利费2.05万元。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2021年度一般公共预算“三公”经费支出决算2.12万元，比上年增加1.02万元，增长92.73%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由于疫情，下乡培训、督导检查等工作增加，导致燃油费增加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公务用车购置及运行维护费支出2.12万元，占100%，比上年增加1.02万元，增长92.73%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由于疫情，下乡培训、督导检查等工作增加，导致燃油费增加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公务用车购置及运行维护费2.12万元，其中，公务用车购置费0.00万元，公务用车运行维护费2.12万元。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公务用维修费，燃油费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与年初预算数相比情况：一般公共预算“三公”经费支出年初预算数3.00万元，决算数2.12万元，预决算差异率-29.33%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sz w:val="32"/>
          <w:szCs w:val="32"/>
        </w:rPr>
        <w:t>本年度压缩</w:t>
      </w:r>
      <w:r>
        <w:rPr>
          <w:rFonts w:hint="eastAsia" w:ascii="仿宋_GB2312" w:eastAsia="仿宋_GB2312"/>
          <w:color w:val="auto"/>
          <w:sz w:val="32"/>
          <w:szCs w:val="32"/>
          <w:highlight w:val="none"/>
          <w:lang w:val="en-US" w:eastAsia="zh-CN"/>
        </w:rPr>
        <w:t>三公</w:t>
      </w:r>
      <w:r>
        <w:rPr>
          <w:rFonts w:hint="eastAsia" w:ascii="仿宋_GB2312" w:eastAsia="仿宋_GB2312"/>
          <w:sz w:val="32"/>
          <w:szCs w:val="32"/>
        </w:rPr>
        <w:t>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公务用车运行费预算数3.00万元，决算数2.12万元，预决算差异率-29.33%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sz w:val="32"/>
          <w:szCs w:val="32"/>
        </w:rPr>
        <w:t>本年度压缩</w:t>
      </w:r>
      <w:r>
        <w:rPr>
          <w:rFonts w:hint="eastAsia" w:ascii="仿宋_GB2312" w:eastAsia="仿宋_GB2312"/>
          <w:color w:val="auto"/>
          <w:sz w:val="32"/>
          <w:szCs w:val="32"/>
          <w:highlight w:val="none"/>
          <w:lang w:val="en-US" w:eastAsia="zh-CN"/>
        </w:rPr>
        <w:t>三公</w:t>
      </w:r>
      <w:r>
        <w:rPr>
          <w:rFonts w:hint="eastAsia" w:ascii="仿宋_GB2312" w:eastAsia="仿宋_GB2312"/>
          <w:sz w:val="32"/>
          <w:szCs w:val="32"/>
        </w:rPr>
        <w:t>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2021年度新疆塔城地区裕民县妇幼保健院（事业单位）公用经费7.49万元，比上年减少1.09万元，降低12.70%</w:t>
      </w:r>
      <w:r>
        <w:rPr>
          <w:rFonts w:hint="eastAsia" w:ascii="仿宋_GB2312" w:eastAsia="仿宋_GB2312"/>
          <w:color w:val="auto"/>
          <w:sz w:val="32"/>
          <w:szCs w:val="32"/>
          <w:highlight w:val="none"/>
        </w:rPr>
        <w:t>，主要原因是</w:t>
      </w:r>
      <w:r>
        <w:rPr>
          <w:rFonts w:hint="eastAsia" w:ascii="仿宋_GB2312" w:eastAsia="仿宋_GB2312"/>
          <w:sz w:val="32"/>
          <w:szCs w:val="32"/>
        </w:rPr>
        <w:t>本年度压缩公用经费支出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2021年度政府采购支出总额29.38万元，其中：政府采购货物支出29.38万元、政府采购工程支出0.00万元、政府采购服务支出0.00万元。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6153.81（平方米），价值1,344.05万元。车辆5辆，价值88.32万元，其中：副部（省）级及以上领导用车0辆、主要领导干部用车0辆、机要通信用车0辆、应急保障用车0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下乡专用车2辆，救护车3辆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单位价值50万元以上通用设备0台（套）、单位价值100万元以上专用设备2台（套）。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一是居民健康意识提高；二是是提高了居民对公共卫生知识的了解，懂得了如何预防各种疾病</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一是是档案信息登记不全，随访不到位；二是项目资金发放不及时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一是是积极开展公共卫生工作，及时合理支付项目资金；二是加强项目实施管理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2AA4E"/>
    <w:multiLevelType w:val="singleLevel"/>
    <w:tmpl w:val="7212AA4E"/>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0BA6D0A"/>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97D74B0"/>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CA6949"/>
    <w:rsid w:val="0F1410FB"/>
    <w:rsid w:val="0F6310A6"/>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965DE3"/>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CB57246"/>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411525"/>
    <w:rsid w:val="32A6143E"/>
    <w:rsid w:val="336D09C0"/>
    <w:rsid w:val="354A37A9"/>
    <w:rsid w:val="36273CF4"/>
    <w:rsid w:val="36827C07"/>
    <w:rsid w:val="36AA5F52"/>
    <w:rsid w:val="36C058A7"/>
    <w:rsid w:val="36E000FD"/>
    <w:rsid w:val="374146AF"/>
    <w:rsid w:val="37D36EBD"/>
    <w:rsid w:val="38724791"/>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BA4E66"/>
    <w:rsid w:val="48EB24A2"/>
    <w:rsid w:val="48F9688C"/>
    <w:rsid w:val="490B0284"/>
    <w:rsid w:val="492D17D3"/>
    <w:rsid w:val="493A3870"/>
    <w:rsid w:val="494757F2"/>
    <w:rsid w:val="4A1207ED"/>
    <w:rsid w:val="4A9D77CC"/>
    <w:rsid w:val="4AF5079B"/>
    <w:rsid w:val="4B345CA5"/>
    <w:rsid w:val="4B701753"/>
    <w:rsid w:val="4B7119A9"/>
    <w:rsid w:val="4BEB2AE8"/>
    <w:rsid w:val="4C181618"/>
    <w:rsid w:val="4C1836EA"/>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451347"/>
    <w:rsid w:val="549741F3"/>
    <w:rsid w:val="557A1326"/>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005CD4"/>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4704</Words>
  <Characters>5250</Characters>
  <Lines>0</Lines>
  <Paragraphs>0</Paragraphs>
  <TotalTime>3</TotalTime>
  <ScaleCrop>false</ScaleCrop>
  <LinksUpToDate>false</LinksUpToDate>
  <CharactersWithSpaces>5320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2023-09-21T10:15:40Z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