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新疆塔城地区裕民县种子站</w:t>
      </w:r>
      <w:r>
        <w:rPr>
          <w:rFonts w:hint="eastAsia" w:ascii="方正小标宋_GBK" w:hAnsi="宋体" w:eastAsia="方正小标宋_GBK"/>
          <w:color w:val="auto"/>
          <w:sz w:val="44"/>
          <w:szCs w:val="44"/>
        </w:rPr>
        <w:t>2021</w:t>
      </w:r>
      <w:r>
        <w:rPr>
          <w:rFonts w:hint="eastAsia" w:ascii="方正小标宋_GBK" w:hAnsi="宋体" w:eastAsia="方正小标宋_GBK"/>
          <w:color w:val="auto"/>
          <w:sz w:val="44"/>
          <w:szCs w:val="44"/>
          <w:highlight w:val="none"/>
        </w:rPr>
        <w:t>年度部门决算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方正小标宋_GBK" w:hAnsi="宋体" w:eastAsia="方正小标宋_GBK"/>
          <w:color w:val="auto"/>
          <w:sz w:val="44"/>
          <w:szCs w:val="44"/>
          <w:highlight w:val="none"/>
        </w:rPr>
        <w:br w:type="page"/>
      </w: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eastAsia="zh-CN"/>
        </w:rPr>
        <w:t>九、《国有资本经营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bookmarkStart w:id="0" w:name="_Toc32314"/>
      <w:bookmarkStart w:id="1" w:name="_Toc24028"/>
      <w:r>
        <w:rPr>
          <w:rFonts w:hint="eastAsia" w:ascii="黑体" w:hAnsi="黑体" w:eastAsia="黑体"/>
          <w:color w:val="auto"/>
          <w:sz w:val="32"/>
          <w:szCs w:val="32"/>
          <w:highlight w:val="none"/>
        </w:rPr>
        <w:t>第一部分 部门单位概况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1）农作物种子行政管理（宣传贯彻《种子法》及其配套法规，审核、发放种子生产许可证和种子经营许可证，种子案件查处）。（2）种子质量管理（包括种子质量检查、检测及田间鉴定仲裁和种子质检体系建设等）。（3）品种管理（规划农作物种植布局，组织安排各类农作物新品种的引种、区域试验、生产试验、生产示范、品种展示）。（4）负责种子技术培训与学术交流，种子良繁体系和基地建设与管理等。</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新疆塔城地区裕民县种子站2021年度，实有人数17人，其中：在职人员11人，离休人员0人，退休人员6人。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从部门决算单位构成看，新疆塔城地区裕民县种子站部门决算包括：新疆塔城地区裕民县种子站决算。单位无下属预算单位，下设3个处室，分别是：业务室、财务室、办公室。</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left="1680" w:leftChars="0" w:firstLine="420" w:firstLineChars="0"/>
        <w:jc w:val="both"/>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第二部分 部门决算情况说明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6" w:name="_Toc25314"/>
      <w:bookmarkStart w:id="7" w:name="_Toc12566"/>
      <w:r>
        <w:rPr>
          <w:rFonts w:hint="eastAsia" w:ascii="黑体" w:hAnsi="黑体" w:eastAsia="黑体" w:cs="宋体"/>
          <w:bCs/>
          <w:color w:val="auto"/>
          <w:kern w:val="0"/>
          <w:sz w:val="32"/>
          <w:szCs w:val="32"/>
          <w:highlight w:val="none"/>
        </w:rPr>
        <w:t>一、收入支出决算总体情况说明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b w:val="0"/>
          <w:bCs w:val="0"/>
          <w:color w:val="auto"/>
          <w:spacing w:val="0"/>
          <w:sz w:val="32"/>
          <w:szCs w:val="32"/>
          <w:highlight w:val="none"/>
          <w:lang w:val="en-US" w:eastAsia="zh-CN"/>
        </w:rPr>
        <w:t>2021年度本年收入161.64万元，与上年相比，增加8.26万元，增长5.39%</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单位职工增资及调资</w:t>
      </w: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lang w:val="en-US" w:eastAsia="zh-CN"/>
        </w:rPr>
        <w:t>本年支出161.98万元，与上年相比，增加8.60万元，增长5.61%</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单位职工增资及调资</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142"/>
      <w:bookmarkStart w:id="9"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本年收入161.64万元，其中：财政拨款收入161.64万元，占100.00%；上级补助收入0.00万元，占0.00%；事业收入0.00万元，占0.00%；经营收入0.00万元，占0.00%；附属单位上缴收入0.00万元，占0.00%；其他收入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0" w:name="_Toc27961"/>
      <w:bookmarkStart w:id="11" w:name="_Toc13201"/>
      <w:r>
        <w:rPr>
          <w:rFonts w:hint="eastAsia" w:ascii="黑体" w:hAnsi="黑体" w:eastAsia="黑体" w:cs="宋体"/>
          <w:bCs/>
          <w:color w:val="auto"/>
          <w:kern w:val="0"/>
          <w:sz w:val="32"/>
          <w:szCs w:val="32"/>
          <w:highlight w:val="none"/>
          <w:lang w:eastAsia="zh-CN"/>
        </w:rPr>
        <w:t>三、支出决算情况说明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2021年度本年支出161.98万元，其中：基本支出161.98万元，占100.00%；项目支出0.00万元，占0.00%；上缴上级支出0.00万元，占0.00%；经营支出0.00万元，占0.00%；对附属单位补助支出0.00万元，占0.00%。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26564"/>
      <w:bookmarkStart w:id="13" w:name="_Toc4393"/>
      <w:r>
        <w:rPr>
          <w:rFonts w:hint="eastAsia" w:ascii="黑体" w:hAnsi="黑体" w:eastAsia="黑体" w:cs="宋体"/>
          <w:bCs/>
          <w:color w:val="auto"/>
          <w:kern w:val="0"/>
          <w:sz w:val="32"/>
          <w:szCs w:val="32"/>
          <w:highlight w:val="none"/>
          <w:lang w:eastAsia="zh-CN"/>
        </w:rPr>
        <w:t>四、财政拨款收入支出决算总体情况说明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2021年度财政拨款收入161.64万元，与上年相比，增加8.26万元，增长5.39%</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单位职工增资及调资</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财政拨款支出161.64万元，与上年相比，增加8.26万元，增长5.39%</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单位职工增资及调资</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与年初预算数相比情况：财政拨款收入年初预算数154.69万元，决算数161.64万元，预决算差异率4.49%</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单位职工增资及调资</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财政拨款支出年初预算数154.69万元，决算数161.64万元，预决算差异率4.49%</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单位职工增资及调资</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13833"/>
      <w:bookmarkStart w:id="15"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4"/>
      <w:bookmarkEnd w:id="1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2021年度一般公共预算财政拨款支出161.64万元。按功能分类科目项级科目公开，其中：</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2080502 事业单位离退休3.93万元;</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2080505 机关事业单位基本养老保险缴费支出14.47万元;</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2101102 事业单位医疗8.42万元;</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2130104 事业运行124.45万元;</w:t>
      </w:r>
    </w:p>
    <w:p>
      <w:pPr>
        <w:keepNext w:val="0"/>
        <w:keepLines w:val="0"/>
        <w:pageBreakBefore w:val="0"/>
        <w:widowControl w:val="0"/>
        <w:kinsoku/>
        <w:wordWrap/>
        <w:overflowPunct/>
        <w:topLinePunct w:val="0"/>
        <w:bidi w:val="0"/>
        <w:adjustRightInd/>
        <w:snapToGrid/>
        <w:spacing w:line="240" w:lineRule="auto"/>
        <w:textAlignment w:val="auto"/>
        <w:rPr>
          <w:rFonts w:hint="default" w:ascii="仿宋_GB2312" w:eastAsia="仿宋_GB2312"/>
          <w:b/>
          <w:bCs/>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2210201 住房公积金10.37万元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11146"/>
      <w:bookmarkStart w:id="17" w:name="_Toc30870"/>
      <w:r>
        <w:rPr>
          <w:rFonts w:hint="eastAsia" w:ascii="黑体" w:hAnsi="黑体" w:eastAsia="黑体" w:cs="宋体"/>
          <w:bCs/>
          <w:color w:val="auto"/>
          <w:kern w:val="0"/>
          <w:sz w:val="32"/>
          <w:szCs w:val="32"/>
          <w:highlight w:val="none"/>
          <w:lang w:eastAsia="zh-CN"/>
        </w:rPr>
        <w:t>六、一般公共预算财政拨款基本支出决算情况说明</w:t>
      </w:r>
      <w:bookmarkEnd w:id="16"/>
      <w:bookmarkEnd w:id="1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2021年度一般公共预算财政拨款基本支出161.64万元，其中：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人员经费157.51万元，包括：基本工资56.36万元、津贴补贴49.10万元、奖金13.60万元、机关事业单位基本养老保险缴费14.47万元、职工基本医疗保险缴费8.42万元、其他社会保障缴费1.26万元、住房公积金10.37万元、退休费1.13万元、医疗费补助2.80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公用经费4.13万元，包括：办公费0.51万元、电费0.03万元、邮电费0.41万元、取暖费0.74万元、工会经费1.73万元、福利费0.71万元。</w:t>
      </w:r>
      <w:bookmarkStart w:id="52" w:name="_GoBack"/>
      <w:bookmarkEnd w:id="52"/>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21518"/>
      <w:bookmarkStart w:id="19" w:name="_Toc7190"/>
      <w:r>
        <w:rPr>
          <w:rFonts w:hint="eastAsia" w:ascii="黑体" w:hAnsi="黑体" w:eastAsia="黑体" w:cs="宋体"/>
          <w:bCs/>
          <w:color w:val="auto"/>
          <w:kern w:val="0"/>
          <w:sz w:val="32"/>
          <w:szCs w:val="32"/>
          <w:highlight w:val="none"/>
          <w:lang w:eastAsia="zh-CN"/>
        </w:rPr>
        <w:t>七</w:t>
      </w:r>
      <w:r>
        <w:rPr>
          <w:rFonts w:hint="eastAsia" w:ascii="黑体" w:hAnsi="黑体" w:eastAsia="黑体" w:cs="宋体"/>
          <w:bCs/>
          <w:color w:val="auto"/>
          <w:kern w:val="0"/>
          <w:sz w:val="32"/>
          <w:szCs w:val="32"/>
          <w:highlight w:val="none"/>
        </w:rPr>
        <w:t>、一般公共预算</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2021年度一般公共预算“三公”经费支出决算0.00万元，比上年减少2.00万元，降低-100.00%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是厉行节约，减少公务用车费用，车辆报废由2万元变成0.5万元的预算数</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其中，因公出国（境）费支出0.00万元，占0.00%，比上年增加0.00万元，增长0.00%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未安排此项支出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公务用车购置及运行维护费支出0.00万元，占0%，比上年减少2.00万元，降低-100.00%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减少公务用车费用，车辆报废由2万元变成0.5万元的预算数</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公务接待费支出0.00万元，占0%，比上年增加0.00万元，增长0.00%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未安排此项支出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因公出国（境）费支出0.00万元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未安排此项支出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公务用车购置及运行维护费0.00万元，其中，公务用车购置费0.00万元，公务用车运行维护费0.00万元。</w:t>
      </w:r>
      <w:r>
        <w:rPr>
          <w:rFonts w:hint="eastAsia" w:ascii="仿宋_GB2312" w:eastAsia="仿宋_GB2312"/>
          <w:color w:val="auto"/>
          <w:sz w:val="32"/>
          <w:szCs w:val="32"/>
          <w:highlight w:val="none"/>
        </w:rPr>
        <w:t>公务用车运行维护费开支内容包括</w:t>
      </w:r>
      <w:r>
        <w:rPr>
          <w:rFonts w:hint="eastAsia" w:ascii="仿宋_GB2312" w:eastAsia="仿宋_GB2312"/>
          <w:color w:val="auto"/>
          <w:sz w:val="32"/>
          <w:szCs w:val="32"/>
          <w:highlight w:val="none"/>
          <w:lang w:val="en-US" w:eastAsia="zh-CN"/>
        </w:rPr>
        <w:t>公车加油，公车维修维护费用</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公务用车购置数0辆，公务用车保有量0辆。</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公务接待费0.00万元</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未安排此项支出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与年初预算数相比情况：一般公共预算“三公”经费支出年初预算数0.50万元，决算数0.00万元，预决算差异率-100.00%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厉行节约，减少公务用车费用，车辆报废由2万元变成0.5万元的预算数</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其中：因公出国（境）费预算数0.00万元，决算数0.00万元，预决算差异率0.00%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未安排此项支出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公务用车购置费预算数0.00万元，决算数0.00万元，预决算差异率0.00%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未安排此项支出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公务用车运行费预算数0.50万元，决算数0.00万元，预决算差异率-100.00%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厉行节约，减少公务用车费用，车辆报废由2万元变成0.5万元的预算数</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公务接待费预算数0.00万元，决算数0.00万元，预决算差异率0.00%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未安排此项支出</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7927"/>
      <w:bookmarkStart w:id="21" w:name="_Toc5810"/>
      <w:r>
        <w:rPr>
          <w:rFonts w:hint="eastAsia" w:ascii="黑体" w:hAnsi="黑体" w:eastAsia="黑体" w:cs="宋体"/>
          <w:bCs/>
          <w:color w:val="auto"/>
          <w:kern w:val="0"/>
          <w:sz w:val="32"/>
          <w:szCs w:val="32"/>
          <w:highlight w:val="none"/>
          <w:lang w:eastAsia="zh-CN"/>
        </w:rPr>
        <w:t>八、政府性基金预算收入支出决算情况说明</w:t>
      </w:r>
      <w:bookmarkEnd w:id="20"/>
      <w:bookmarkEnd w:id="2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我单位本年度无政府性基金预算财政拨款收入支出，政府性基金预算财政拨款收入支出决算表为空表。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我单位本年度无国有资本经营预算财政拨款收入支出，国有资本经营预算财政拨款收入支出决算表为空表。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2" w:name="_Toc7314"/>
      <w:bookmarkStart w:id="23" w:name="_Toc1235"/>
      <w:r>
        <w:rPr>
          <w:rFonts w:hint="eastAsia" w:ascii="黑体" w:hAnsi="黑体" w:eastAsia="黑体" w:cs="宋体"/>
          <w:bCs/>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rPr>
      </w:pPr>
      <w:bookmarkStart w:id="24" w:name="_Toc14519"/>
      <w:bookmarkStart w:id="25"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2021年度新疆塔城地区裕民县种子站（事业单位）公用经费4.13万元，比上年减少5.25万元，降低55.97%</w:t>
      </w:r>
      <w:r>
        <w:rPr>
          <w:rFonts w:hint="eastAsia" w:ascii="仿宋_GB2312" w:eastAsia="仿宋_GB2312"/>
          <w:color w:val="auto"/>
          <w:sz w:val="32"/>
          <w:szCs w:val="32"/>
          <w:highlight w:val="none"/>
        </w:rPr>
        <w:t>，主要原因是</w:t>
      </w:r>
      <w:r>
        <w:rPr>
          <w:rFonts w:hint="eastAsia" w:ascii="仿宋_GB2312" w:eastAsia="仿宋_GB2312"/>
          <w:color w:val="auto"/>
          <w:sz w:val="32"/>
          <w:szCs w:val="32"/>
          <w:highlight w:val="none"/>
          <w:lang w:eastAsia="zh-CN"/>
        </w:rPr>
        <w:t>本单位本年压缩经费，</w:t>
      </w:r>
      <w:r>
        <w:rPr>
          <w:rFonts w:hint="eastAsia" w:ascii="仿宋_GB2312" w:eastAsia="仿宋_GB2312"/>
          <w:color w:val="auto"/>
          <w:sz w:val="32"/>
          <w:szCs w:val="32"/>
          <w:highlight w:val="none"/>
          <w:lang w:val="en-US" w:eastAsia="zh-CN"/>
        </w:rPr>
        <w:t>电费、办公费、差旅费等各项办公经费减少开支</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bookmarkStart w:id="26" w:name="_Toc26704"/>
      <w:bookmarkStart w:id="27" w:name="_Toc227"/>
      <w:r>
        <w:rPr>
          <w:rFonts w:hint="eastAsia" w:ascii="黑体" w:hAnsi="黑体" w:eastAsia="黑体"/>
          <w:color w:val="auto"/>
          <w:sz w:val="32"/>
          <w:szCs w:val="32"/>
          <w:highlight w:val="none"/>
          <w:lang w:eastAsia="zh-CN"/>
        </w:rPr>
        <w:t>（二）政府采购情况</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2021年度政府采购支出总额0.00万元，其中：政府采购货物支出0.00万元、政府采购工程支出0.00万元、政府采购服务支出0.00万元。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bookmarkStart w:id="28" w:name="_Toc4591"/>
      <w:bookmarkStart w:id="29" w:name="_Toc8391"/>
      <w:r>
        <w:rPr>
          <w:rFonts w:hint="eastAsia" w:ascii="仿宋_GB2312" w:eastAsia="仿宋_GB2312"/>
          <w:color w:val="auto"/>
          <w:spacing w:val="0"/>
          <w:sz w:val="32"/>
          <w:szCs w:val="32"/>
          <w:highlight w:val="none"/>
          <w:lang w:val="en-US" w:eastAsia="zh-CN"/>
        </w:rPr>
        <w:t>授予中小企业合同金额0.00万元，占政府采购支出总额的0%，其中：授予小微企业合同金额0.00万元，占政府采购支出总额的0.00%。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（三）国有资产占用情况说明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截止2021年12月31日，单位共有房屋1205.00（平方米），价值69.56万元。车辆0辆，价值0.00万元，其中：副部（省）级及以上领导用车0辆、主要领导干部用车0辆、机要通信用车0辆、应急保障用车0辆、执法执勤用车0辆、特种专业技术用车0辆、离退休干部用车0辆、其他用车0辆</w:t>
      </w:r>
      <w:r>
        <w:rPr>
          <w:rFonts w:hint="eastAsia" w:ascii="仿宋_GB2312" w:eastAsia="仿宋_GB2312"/>
          <w:color w:val="auto"/>
          <w:sz w:val="32"/>
          <w:szCs w:val="32"/>
          <w:highlight w:val="none"/>
        </w:rPr>
        <w:t>，其他用车主要是：</w:t>
      </w:r>
      <w:r>
        <w:rPr>
          <w:rFonts w:hint="eastAsia" w:ascii="仿宋_GB2312" w:eastAsia="仿宋_GB2312"/>
          <w:color w:val="auto"/>
          <w:sz w:val="32"/>
          <w:szCs w:val="32"/>
          <w:highlight w:val="none"/>
          <w:lang w:val="en-US" w:eastAsia="zh-CN"/>
        </w:rPr>
        <w:t>车辆已报废</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单位价值50万元以上通用设备0台（套）、单位价值100万元以上专用设备0台（套）。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30" w:name="_Toc435"/>
      <w:bookmarkStart w:id="31" w:name="_Toc11283"/>
      <w:r>
        <w:rPr>
          <w:rFonts w:hint="eastAsia" w:ascii="黑体" w:hAnsi="黑体" w:eastAsia="黑体" w:cs="宋体"/>
          <w:bCs/>
          <w:kern w:val="0"/>
          <w:sz w:val="32"/>
          <w:szCs w:val="32"/>
          <w:highlight w:val="none"/>
          <w:lang w:eastAsia="zh-CN"/>
        </w:rPr>
        <w:t>十一</w:t>
      </w:r>
      <w:r>
        <w:rPr>
          <w:rFonts w:hint="eastAsia" w:ascii="黑体" w:hAnsi="黑体" w:eastAsia="黑体" w:cs="宋体"/>
          <w:bCs/>
          <w:color w:val="auto"/>
          <w:kern w:val="0"/>
          <w:sz w:val="32"/>
          <w:szCs w:val="32"/>
          <w:highlight w:val="none"/>
          <w:lang w:eastAsia="zh-CN"/>
        </w:rPr>
        <w:t>、预算绩效的情况说明</w:t>
      </w:r>
      <w:bookmarkEnd w:id="30"/>
      <w:bookmarkEnd w:id="3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根据预算绩效管理要求，我单位</w:t>
      </w:r>
      <w:r>
        <w:rPr>
          <w:rFonts w:hint="eastAsia" w:ascii="仿宋_GB2312" w:eastAsia="仿宋_GB2312"/>
          <w:color w:val="auto"/>
          <w:sz w:val="32"/>
          <w:szCs w:val="32"/>
          <w:highlight w:val="none"/>
          <w:lang w:val="en-US" w:eastAsia="zh-CN"/>
        </w:rPr>
        <w:t>2021</w:t>
      </w:r>
      <w:r>
        <w:rPr>
          <w:rFonts w:hint="eastAsia" w:ascii="仿宋_GB2312" w:eastAsia="仿宋_GB2312"/>
          <w:color w:val="auto"/>
          <w:sz w:val="32"/>
          <w:szCs w:val="32"/>
          <w:highlight w:val="none"/>
          <w:lang w:eastAsia="zh-CN"/>
        </w:rPr>
        <w:t>年度开展预算绩效评价项目</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lang w:eastAsia="zh-CN"/>
        </w:rPr>
        <w:t>个，共涉及资金</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hint="eastAsia" w:ascii="仿宋_GB2312" w:eastAsia="仿宋_GB2312"/>
          <w:color w:val="auto"/>
          <w:sz w:val="32"/>
          <w:szCs w:val="32"/>
          <w:highlight w:val="none"/>
          <w:lang w:val="en-US" w:eastAsia="zh-CN"/>
        </w:rPr>
        <w:t>我单位今年无项目</w:t>
      </w:r>
      <w:r>
        <w:rPr>
          <w:rFonts w:hint="eastAsia" w:ascii="仿宋_GB2312" w:eastAsia="仿宋_GB2312"/>
          <w:color w:val="auto"/>
          <w:sz w:val="32"/>
          <w:szCs w:val="32"/>
          <w:highlight w:val="none"/>
          <w:lang w:eastAsia="zh-CN"/>
        </w:rPr>
        <w:t>。发现的问题及原因：</w:t>
      </w:r>
      <w:r>
        <w:rPr>
          <w:rFonts w:hint="eastAsia" w:ascii="仿宋_GB2312" w:eastAsia="仿宋_GB2312"/>
          <w:color w:val="auto"/>
          <w:sz w:val="32"/>
          <w:szCs w:val="32"/>
          <w:highlight w:val="none"/>
          <w:lang w:val="en-US" w:eastAsia="zh-CN"/>
        </w:rPr>
        <w:t>我单位今年无项目，没有问题</w:t>
      </w:r>
      <w:r>
        <w:rPr>
          <w:rFonts w:hint="eastAsia" w:ascii="仿宋_GB2312" w:eastAsia="仿宋_GB2312"/>
          <w:color w:val="auto"/>
          <w:sz w:val="32"/>
          <w:szCs w:val="32"/>
          <w:highlight w:val="none"/>
          <w:lang w:eastAsia="zh-CN"/>
        </w:rPr>
        <w:t>。下一步改进措施：</w:t>
      </w:r>
      <w:r>
        <w:rPr>
          <w:rFonts w:hint="eastAsia" w:ascii="仿宋_GB2312" w:eastAsia="仿宋_GB2312"/>
          <w:color w:val="auto"/>
          <w:sz w:val="32"/>
          <w:szCs w:val="32"/>
          <w:highlight w:val="none"/>
          <w:lang w:val="en-US" w:eastAsia="zh-CN"/>
        </w:rPr>
        <w:t>我单位今年无项目，不涉及改进措施</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项目自评情况附项目支出绩效自评表。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32" w:name="_Toc3250"/>
      <w:bookmarkStart w:id="33" w:name="_Toc24143"/>
      <w:bookmarkStart w:id="34" w:name="_Toc28903"/>
      <w:bookmarkStart w:id="35" w:name="_Toc22784"/>
      <w:r>
        <w:rPr>
          <w:rFonts w:hint="eastAsia" w:ascii="黑体" w:hAnsi="黑体" w:eastAsia="黑体"/>
          <w:sz w:val="32"/>
          <w:szCs w:val="32"/>
          <w:highlight w:val="none"/>
        </w:rPr>
        <w:t>第三部分 专业名词解释</w:t>
      </w:r>
      <w:bookmarkEnd w:id="32"/>
      <w:bookmarkEnd w:id="33"/>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sz w:val="32"/>
          <w:szCs w:val="32"/>
          <w:highlight w:val="none"/>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第四部分 部门决算报表（见附表）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6" w:name="_Toc6062"/>
      <w:bookmarkStart w:id="37" w:name="_Toc2183"/>
      <w:r>
        <w:rPr>
          <w:rFonts w:hint="eastAsia" w:ascii="黑体" w:hAnsi="黑体" w:eastAsia="黑体" w:cs="宋体"/>
          <w:bCs/>
          <w:kern w:val="0"/>
          <w:sz w:val="32"/>
          <w:szCs w:val="32"/>
          <w:highlight w:val="none"/>
        </w:rPr>
        <w:t>一、《收入支出决算总表》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30364"/>
      <w:bookmarkStart w:id="39" w:name="_Toc24532"/>
      <w:r>
        <w:rPr>
          <w:rFonts w:hint="eastAsia" w:ascii="黑体" w:hAnsi="黑体" w:eastAsia="黑体" w:cs="宋体"/>
          <w:bCs/>
          <w:kern w:val="0"/>
          <w:sz w:val="32"/>
          <w:szCs w:val="32"/>
          <w:highlight w:val="none"/>
        </w:rPr>
        <w:t>二、《收入决算表》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0" w:name="_Toc21304"/>
      <w:bookmarkStart w:id="41" w:name="_Toc32434"/>
      <w:r>
        <w:rPr>
          <w:rFonts w:hint="eastAsia" w:ascii="黑体" w:hAnsi="黑体" w:eastAsia="黑体" w:cs="宋体"/>
          <w:bCs/>
          <w:kern w:val="0"/>
          <w:sz w:val="32"/>
          <w:szCs w:val="32"/>
          <w:highlight w:val="none"/>
        </w:rPr>
        <w:t>三、《支出决算表》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2" w:name="_Toc14238"/>
      <w:bookmarkStart w:id="43" w:name="_Toc28786"/>
      <w:r>
        <w:rPr>
          <w:rFonts w:hint="eastAsia" w:ascii="黑体" w:hAnsi="黑体" w:eastAsia="黑体" w:cs="宋体"/>
          <w:bCs/>
          <w:kern w:val="0"/>
          <w:sz w:val="32"/>
          <w:szCs w:val="32"/>
          <w:highlight w:val="none"/>
        </w:rPr>
        <w:t>四、《财政拨款收入支出决算总表》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4" w:name="_Toc10347"/>
      <w:bookmarkStart w:id="45" w:name="_Toc14869"/>
      <w:r>
        <w:rPr>
          <w:rFonts w:hint="eastAsia" w:ascii="黑体" w:hAnsi="黑体" w:eastAsia="黑体" w:cs="宋体"/>
          <w:bCs/>
          <w:kern w:val="0"/>
          <w:sz w:val="32"/>
          <w:szCs w:val="32"/>
          <w:highlight w:val="none"/>
        </w:rPr>
        <w:t>五、《一般公共预算财政拨款支出决算表》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6" w:name="_Toc8884"/>
      <w:bookmarkStart w:id="47" w:name="_Toc5626"/>
      <w:r>
        <w:rPr>
          <w:rFonts w:hint="eastAsia" w:ascii="黑体" w:hAnsi="黑体" w:eastAsia="黑体" w:cs="宋体"/>
          <w:bCs/>
          <w:kern w:val="0"/>
          <w:sz w:val="32"/>
          <w:szCs w:val="32"/>
          <w:highlight w:val="none"/>
        </w:rPr>
        <w:t>六、《一般公共预算财政拨款基本支出决算表》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8" w:name="_Toc32663"/>
      <w:bookmarkStart w:id="49" w:name="_Toc29106"/>
      <w:r>
        <w:rPr>
          <w:rFonts w:hint="eastAsia" w:ascii="黑体" w:hAnsi="黑体" w:eastAsia="黑体" w:cs="宋体"/>
          <w:bCs/>
          <w:kern w:val="0"/>
          <w:sz w:val="32"/>
          <w:szCs w:val="32"/>
          <w:highlight w:val="none"/>
        </w:rPr>
        <w:t>七、《一般公共预算财政拨款“三公”经费支出决算表》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0" w:name="_Toc5453"/>
      <w:bookmarkStart w:id="51" w:name="_Toc7643"/>
      <w:r>
        <w:rPr>
          <w:rFonts w:hint="eastAsia" w:ascii="黑体" w:hAnsi="黑体" w:eastAsia="黑体" w:cs="宋体"/>
          <w:bCs/>
          <w:kern w:val="0"/>
          <w:sz w:val="32"/>
          <w:szCs w:val="32"/>
          <w:highlight w:val="none"/>
        </w:rPr>
        <w:t>八、《政府性基金预算财政拨款收入支出决算表》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w:t>
      </w:r>
      <w:r>
        <w:rPr>
          <w:rFonts w:hint="eastAsia" w:ascii="黑体" w:hAnsi="黑体" w:eastAsia="黑体" w:cs="宋体"/>
          <w:bCs/>
          <w:kern w:val="0"/>
          <w:sz w:val="32"/>
          <w:szCs w:val="32"/>
          <w:highlight w:val="none"/>
          <w:lang w:eastAsia="zh-CN"/>
        </w:rPr>
        <w:t>国有资本经营</w:t>
      </w:r>
      <w:r>
        <w:rPr>
          <w:rFonts w:hint="eastAsia" w:ascii="黑体" w:hAnsi="黑体" w:eastAsia="黑体" w:cs="宋体"/>
          <w:bCs/>
          <w:kern w:val="0"/>
          <w:sz w:val="32"/>
          <w:szCs w:val="32"/>
          <w:highlight w:val="none"/>
        </w:rPr>
        <w:t>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zql5uc8AAAAFAQAADwAAAAAAAAABACAAAAAiAAAA&#10;ZHJzL2Rvd25yZXYueG1sUEsBAhQAFAAAAAgAh07iQDd/Ew/XAQAAsAMAAA4AAAAAAAAAAQAgAAAA&#10;HgEAAGRycy9lMm9Eb2MueG1sUEsFBgAAAAAGAAYAWQEAAGc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k0OGRlMzc3YTU1OWRjZTRiOGI0YzhjMjMxNjk0NDQifQ=="/>
  </w:docVars>
  <w:rsids>
    <w:rsidRoot w:val="00000000"/>
    <w:rsid w:val="0131169A"/>
    <w:rsid w:val="01734C27"/>
    <w:rsid w:val="01DD6073"/>
    <w:rsid w:val="02014C29"/>
    <w:rsid w:val="02890C73"/>
    <w:rsid w:val="04044ED1"/>
    <w:rsid w:val="041C5E18"/>
    <w:rsid w:val="04AA63C1"/>
    <w:rsid w:val="04EE377F"/>
    <w:rsid w:val="051C631E"/>
    <w:rsid w:val="0562142B"/>
    <w:rsid w:val="05B31111"/>
    <w:rsid w:val="05D3594C"/>
    <w:rsid w:val="06792773"/>
    <w:rsid w:val="074F280E"/>
    <w:rsid w:val="075B1482"/>
    <w:rsid w:val="075F768F"/>
    <w:rsid w:val="07BA7C7F"/>
    <w:rsid w:val="07C3443C"/>
    <w:rsid w:val="08476613"/>
    <w:rsid w:val="084876D1"/>
    <w:rsid w:val="09026D66"/>
    <w:rsid w:val="090B11F4"/>
    <w:rsid w:val="0A2E4EB6"/>
    <w:rsid w:val="0A611FB0"/>
    <w:rsid w:val="0A6D05E4"/>
    <w:rsid w:val="0AC520F0"/>
    <w:rsid w:val="0B21162A"/>
    <w:rsid w:val="0B557DD5"/>
    <w:rsid w:val="0BED1442"/>
    <w:rsid w:val="0C595DFB"/>
    <w:rsid w:val="0C7A5D15"/>
    <w:rsid w:val="0CD00AF9"/>
    <w:rsid w:val="0CFEBB4E"/>
    <w:rsid w:val="0D0A4F7E"/>
    <w:rsid w:val="0D0B27DC"/>
    <w:rsid w:val="0D7C3599"/>
    <w:rsid w:val="0E003458"/>
    <w:rsid w:val="0E1F036C"/>
    <w:rsid w:val="0EB33F18"/>
    <w:rsid w:val="0F1410FB"/>
    <w:rsid w:val="0F923480"/>
    <w:rsid w:val="1056158D"/>
    <w:rsid w:val="10F929CB"/>
    <w:rsid w:val="10FF31A4"/>
    <w:rsid w:val="1142269D"/>
    <w:rsid w:val="11450985"/>
    <w:rsid w:val="11CA45A9"/>
    <w:rsid w:val="11E8712A"/>
    <w:rsid w:val="11FE3AAA"/>
    <w:rsid w:val="122451E5"/>
    <w:rsid w:val="126B62A8"/>
    <w:rsid w:val="12951F13"/>
    <w:rsid w:val="12B1037D"/>
    <w:rsid w:val="12CC4CD9"/>
    <w:rsid w:val="13326CE6"/>
    <w:rsid w:val="14284AED"/>
    <w:rsid w:val="15CF1AC0"/>
    <w:rsid w:val="17083B88"/>
    <w:rsid w:val="1742163F"/>
    <w:rsid w:val="176E53C3"/>
    <w:rsid w:val="1805797E"/>
    <w:rsid w:val="18124080"/>
    <w:rsid w:val="182E453B"/>
    <w:rsid w:val="189A656F"/>
    <w:rsid w:val="198202DA"/>
    <w:rsid w:val="19AF7A44"/>
    <w:rsid w:val="1A2B1F02"/>
    <w:rsid w:val="1A6109EF"/>
    <w:rsid w:val="1B424E9E"/>
    <w:rsid w:val="1BB07761"/>
    <w:rsid w:val="1C2A54A9"/>
    <w:rsid w:val="1C3737FD"/>
    <w:rsid w:val="1C88403A"/>
    <w:rsid w:val="1CB729A5"/>
    <w:rsid w:val="1CC56B97"/>
    <w:rsid w:val="1D34682A"/>
    <w:rsid w:val="1D4A73D5"/>
    <w:rsid w:val="1D5100B1"/>
    <w:rsid w:val="1D9C2D67"/>
    <w:rsid w:val="1DAF458D"/>
    <w:rsid w:val="1DE34574"/>
    <w:rsid w:val="1F201182"/>
    <w:rsid w:val="1F77716A"/>
    <w:rsid w:val="1F825A11"/>
    <w:rsid w:val="1FC406BB"/>
    <w:rsid w:val="206034DD"/>
    <w:rsid w:val="20DF6845"/>
    <w:rsid w:val="233B4784"/>
    <w:rsid w:val="233E5923"/>
    <w:rsid w:val="236A6149"/>
    <w:rsid w:val="23B146B9"/>
    <w:rsid w:val="240038BA"/>
    <w:rsid w:val="240A65B7"/>
    <w:rsid w:val="263D5951"/>
    <w:rsid w:val="265E582C"/>
    <w:rsid w:val="26E147D1"/>
    <w:rsid w:val="27004B43"/>
    <w:rsid w:val="27B248A0"/>
    <w:rsid w:val="283F1644"/>
    <w:rsid w:val="287C6FB4"/>
    <w:rsid w:val="28B4796C"/>
    <w:rsid w:val="29770D57"/>
    <w:rsid w:val="29A000F0"/>
    <w:rsid w:val="29D21E13"/>
    <w:rsid w:val="2A053397"/>
    <w:rsid w:val="2A832011"/>
    <w:rsid w:val="2AB554B8"/>
    <w:rsid w:val="2B0377CD"/>
    <w:rsid w:val="2B6B66AA"/>
    <w:rsid w:val="2BFE2EF0"/>
    <w:rsid w:val="2C1E18A5"/>
    <w:rsid w:val="2C604703"/>
    <w:rsid w:val="2D1136DF"/>
    <w:rsid w:val="2D2B5CBF"/>
    <w:rsid w:val="2D8C755C"/>
    <w:rsid w:val="2DA02D04"/>
    <w:rsid w:val="2DFD193C"/>
    <w:rsid w:val="2E9F6859"/>
    <w:rsid w:val="2EC544A9"/>
    <w:rsid w:val="2F0C26B1"/>
    <w:rsid w:val="2F116303"/>
    <w:rsid w:val="2FC614E6"/>
    <w:rsid w:val="30236790"/>
    <w:rsid w:val="30802486"/>
    <w:rsid w:val="31175173"/>
    <w:rsid w:val="314D12BC"/>
    <w:rsid w:val="316F250C"/>
    <w:rsid w:val="31BD13AC"/>
    <w:rsid w:val="31BD26CA"/>
    <w:rsid w:val="31C63837"/>
    <w:rsid w:val="32082F98"/>
    <w:rsid w:val="32A6143E"/>
    <w:rsid w:val="336D09C0"/>
    <w:rsid w:val="354A37A9"/>
    <w:rsid w:val="36273CF4"/>
    <w:rsid w:val="36827C07"/>
    <w:rsid w:val="36AA5F52"/>
    <w:rsid w:val="36C058A7"/>
    <w:rsid w:val="36E000FD"/>
    <w:rsid w:val="374146AF"/>
    <w:rsid w:val="37D36EBD"/>
    <w:rsid w:val="399731E4"/>
    <w:rsid w:val="3ADE39A4"/>
    <w:rsid w:val="3AFB1A4C"/>
    <w:rsid w:val="3B610B0E"/>
    <w:rsid w:val="3BF672B3"/>
    <w:rsid w:val="3BF67B6E"/>
    <w:rsid w:val="3C132F7E"/>
    <w:rsid w:val="3C530331"/>
    <w:rsid w:val="3CBB22B3"/>
    <w:rsid w:val="3CC7093B"/>
    <w:rsid w:val="3CC80DC0"/>
    <w:rsid w:val="3D1309DF"/>
    <w:rsid w:val="3D217D96"/>
    <w:rsid w:val="3D5275AC"/>
    <w:rsid w:val="3DED65A8"/>
    <w:rsid w:val="3DFE4E4B"/>
    <w:rsid w:val="3E160417"/>
    <w:rsid w:val="3E4F50AC"/>
    <w:rsid w:val="40161B73"/>
    <w:rsid w:val="4079165E"/>
    <w:rsid w:val="41AD1AA2"/>
    <w:rsid w:val="41B20E4F"/>
    <w:rsid w:val="41D31F00"/>
    <w:rsid w:val="42B76840"/>
    <w:rsid w:val="43316970"/>
    <w:rsid w:val="43FF00DB"/>
    <w:rsid w:val="4421165A"/>
    <w:rsid w:val="44467526"/>
    <w:rsid w:val="44CF4655"/>
    <w:rsid w:val="45A87853"/>
    <w:rsid w:val="45AD0B65"/>
    <w:rsid w:val="46901EEE"/>
    <w:rsid w:val="469C74D2"/>
    <w:rsid w:val="46DC1114"/>
    <w:rsid w:val="46FA6D28"/>
    <w:rsid w:val="473F39FE"/>
    <w:rsid w:val="476D2E32"/>
    <w:rsid w:val="47801D21"/>
    <w:rsid w:val="47FF5A3B"/>
    <w:rsid w:val="48F9688C"/>
    <w:rsid w:val="490B0284"/>
    <w:rsid w:val="492D17D3"/>
    <w:rsid w:val="493A3870"/>
    <w:rsid w:val="4A1207ED"/>
    <w:rsid w:val="4A9D77CC"/>
    <w:rsid w:val="4AF5079B"/>
    <w:rsid w:val="4B345CA5"/>
    <w:rsid w:val="4B701753"/>
    <w:rsid w:val="4BEB2AE8"/>
    <w:rsid w:val="4C181618"/>
    <w:rsid w:val="4C6D3066"/>
    <w:rsid w:val="4CB3745D"/>
    <w:rsid w:val="4D391693"/>
    <w:rsid w:val="4DA93660"/>
    <w:rsid w:val="4DD406E5"/>
    <w:rsid w:val="4DF31F55"/>
    <w:rsid w:val="4E535897"/>
    <w:rsid w:val="4F195BC9"/>
    <w:rsid w:val="4F714843"/>
    <w:rsid w:val="4FCE528B"/>
    <w:rsid w:val="5004002B"/>
    <w:rsid w:val="500A528D"/>
    <w:rsid w:val="5016455D"/>
    <w:rsid w:val="50D87915"/>
    <w:rsid w:val="50DB5F45"/>
    <w:rsid w:val="510B4945"/>
    <w:rsid w:val="511D7E14"/>
    <w:rsid w:val="51554269"/>
    <w:rsid w:val="516A2E8A"/>
    <w:rsid w:val="517134A1"/>
    <w:rsid w:val="51A16EE8"/>
    <w:rsid w:val="51BB37A4"/>
    <w:rsid w:val="52163B23"/>
    <w:rsid w:val="523D322D"/>
    <w:rsid w:val="52C01CAC"/>
    <w:rsid w:val="530335BC"/>
    <w:rsid w:val="535F2703"/>
    <w:rsid w:val="549741F3"/>
    <w:rsid w:val="56146D24"/>
    <w:rsid w:val="56547F9B"/>
    <w:rsid w:val="568D63A8"/>
    <w:rsid w:val="569D71D3"/>
    <w:rsid w:val="570E289D"/>
    <w:rsid w:val="57211AEC"/>
    <w:rsid w:val="57AF4592"/>
    <w:rsid w:val="5813797A"/>
    <w:rsid w:val="58344842"/>
    <w:rsid w:val="588E1D40"/>
    <w:rsid w:val="58E4063C"/>
    <w:rsid w:val="58F356A0"/>
    <w:rsid w:val="58FB4926"/>
    <w:rsid w:val="5A8C5C64"/>
    <w:rsid w:val="5B0A3C7C"/>
    <w:rsid w:val="5C145D5F"/>
    <w:rsid w:val="5C8850C2"/>
    <w:rsid w:val="5DE43C4B"/>
    <w:rsid w:val="5E256662"/>
    <w:rsid w:val="5E8D0FF0"/>
    <w:rsid w:val="5EA92E5B"/>
    <w:rsid w:val="5F312B5A"/>
    <w:rsid w:val="5F3A544C"/>
    <w:rsid w:val="5F421F4F"/>
    <w:rsid w:val="5F932967"/>
    <w:rsid w:val="600C4334"/>
    <w:rsid w:val="607C007C"/>
    <w:rsid w:val="60EE637C"/>
    <w:rsid w:val="610F4386"/>
    <w:rsid w:val="610F76A0"/>
    <w:rsid w:val="613B2291"/>
    <w:rsid w:val="616F6C82"/>
    <w:rsid w:val="61C23CA5"/>
    <w:rsid w:val="625B5AF2"/>
    <w:rsid w:val="62A91F52"/>
    <w:rsid w:val="62B07C56"/>
    <w:rsid w:val="64350E40"/>
    <w:rsid w:val="64766BFD"/>
    <w:rsid w:val="647D0508"/>
    <w:rsid w:val="6537230D"/>
    <w:rsid w:val="656325C7"/>
    <w:rsid w:val="65BF2B26"/>
    <w:rsid w:val="65CF3090"/>
    <w:rsid w:val="65D57A52"/>
    <w:rsid w:val="668019BE"/>
    <w:rsid w:val="668147BE"/>
    <w:rsid w:val="66A71241"/>
    <w:rsid w:val="67CB7D39"/>
    <w:rsid w:val="69316E1A"/>
    <w:rsid w:val="69554902"/>
    <w:rsid w:val="69A94B4A"/>
    <w:rsid w:val="69AD798C"/>
    <w:rsid w:val="69C70FA3"/>
    <w:rsid w:val="69E5430E"/>
    <w:rsid w:val="6A197EE3"/>
    <w:rsid w:val="6A4F6540"/>
    <w:rsid w:val="6A733F65"/>
    <w:rsid w:val="6AAD748A"/>
    <w:rsid w:val="6B4F02DD"/>
    <w:rsid w:val="6B68175F"/>
    <w:rsid w:val="6B8E27EF"/>
    <w:rsid w:val="6C360AF8"/>
    <w:rsid w:val="6C6B3009"/>
    <w:rsid w:val="6C6B3214"/>
    <w:rsid w:val="6C747BB9"/>
    <w:rsid w:val="6D3D14C4"/>
    <w:rsid w:val="6DF26FFC"/>
    <w:rsid w:val="6E094282"/>
    <w:rsid w:val="6ED34999"/>
    <w:rsid w:val="6F29157B"/>
    <w:rsid w:val="6F531BF4"/>
    <w:rsid w:val="700F486D"/>
    <w:rsid w:val="701074C0"/>
    <w:rsid w:val="707F51EF"/>
    <w:rsid w:val="71833EC6"/>
    <w:rsid w:val="718D4E0D"/>
    <w:rsid w:val="71AE7AA3"/>
    <w:rsid w:val="71CA2249"/>
    <w:rsid w:val="721E4A5D"/>
    <w:rsid w:val="72EE56CB"/>
    <w:rsid w:val="73406D5B"/>
    <w:rsid w:val="738E33C3"/>
    <w:rsid w:val="73FB6630"/>
    <w:rsid w:val="750B5BF1"/>
    <w:rsid w:val="75B51FC0"/>
    <w:rsid w:val="75B60031"/>
    <w:rsid w:val="76DD091D"/>
    <w:rsid w:val="76E8483E"/>
    <w:rsid w:val="77466E92"/>
    <w:rsid w:val="774B26E2"/>
    <w:rsid w:val="77720CA8"/>
    <w:rsid w:val="77ED6F44"/>
    <w:rsid w:val="78224413"/>
    <w:rsid w:val="78FD1F20"/>
    <w:rsid w:val="79870A12"/>
    <w:rsid w:val="7A1C6325"/>
    <w:rsid w:val="7A7632AD"/>
    <w:rsid w:val="7AC8434A"/>
    <w:rsid w:val="7B3910B5"/>
    <w:rsid w:val="7B4C7884"/>
    <w:rsid w:val="7B902D83"/>
    <w:rsid w:val="7BAB7A6D"/>
    <w:rsid w:val="7CF20E48"/>
    <w:rsid w:val="7D5B7B53"/>
    <w:rsid w:val="7D710817"/>
    <w:rsid w:val="7ED4401F"/>
    <w:rsid w:val="7F8F3BEC"/>
    <w:rsid w:val="7FD64A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4081</Words>
  <Characters>4541</Characters>
  <Lines>0</Lines>
  <Paragraphs>0</Paragraphs>
  <TotalTime>0</TotalTime>
  <ScaleCrop>false</ScaleCrop>
  <LinksUpToDate>false</LinksUpToDate>
  <CharactersWithSpaces>4576</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lenovo</cp:lastModifiedBy>
  <dcterms:modified xsi:type="dcterms:W3CDTF">2023-09-19T05:12:03Z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58240A701613457BB24A0FE0F01EE863</vt:lpwstr>
  </property>
</Properties>
</file>