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891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457"/>
        <w:gridCol w:w="359"/>
        <w:gridCol w:w="583"/>
        <w:gridCol w:w="1337"/>
        <w:gridCol w:w="1895"/>
        <w:gridCol w:w="938"/>
        <w:gridCol w:w="591"/>
        <w:gridCol w:w="575"/>
        <w:gridCol w:w="339"/>
        <w:gridCol w:w="188"/>
        <w:gridCol w:w="296"/>
        <w:gridCol w:w="513"/>
        <w:gridCol w:w="271"/>
        <w:gridCol w:w="5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5" w:hRule="atLeast"/>
        </w:trPr>
        <w:tc>
          <w:tcPr>
            <w:tcW w:w="8910" w:type="dxa"/>
            <w:gridSpan w:val="14"/>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8910" w:type="dxa"/>
            <w:gridSpan w:val="14"/>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81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8094" w:type="dxa"/>
            <w:gridSpan w:val="1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2021年少数民族地区和边疆地区文化安全补助资金（村村通运行维护经费）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81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5344"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1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1836"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裕民县文化体育广播电视和旅游局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816" w:type="dxa"/>
            <w:gridSpan w:val="2"/>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项目资金</w:t>
            </w:r>
          </w:p>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（万元）</w:t>
            </w:r>
          </w:p>
        </w:tc>
        <w:tc>
          <w:tcPr>
            <w:tcW w:w="1920"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152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91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48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78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56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816" w:type="dxa"/>
            <w:gridSpan w:val="2"/>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20"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8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16.00</w:t>
            </w:r>
          </w:p>
        </w:tc>
        <w:tc>
          <w:tcPr>
            <w:tcW w:w="152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16.00</w:t>
            </w:r>
          </w:p>
        </w:tc>
        <w:tc>
          <w:tcPr>
            <w:tcW w:w="91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16.00</w:t>
            </w:r>
          </w:p>
        </w:tc>
        <w:tc>
          <w:tcPr>
            <w:tcW w:w="48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78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56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816" w:type="dxa"/>
            <w:gridSpan w:val="2"/>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20"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8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152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91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48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78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56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816" w:type="dxa"/>
            <w:gridSpan w:val="2"/>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20"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上年结转资金</w:t>
            </w:r>
          </w:p>
        </w:tc>
        <w:tc>
          <w:tcPr>
            <w:tcW w:w="18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152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91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48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78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56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816" w:type="dxa"/>
            <w:gridSpan w:val="2"/>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20"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其他资金</w:t>
            </w:r>
          </w:p>
        </w:tc>
        <w:tc>
          <w:tcPr>
            <w:tcW w:w="18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152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91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48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78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56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457"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5703" w:type="dxa"/>
            <w:gridSpan w:val="6"/>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2750" w:type="dxa"/>
            <w:gridSpan w:val="7"/>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040" w:hRule="atLeast"/>
        </w:trPr>
        <w:tc>
          <w:tcPr>
            <w:tcW w:w="45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703" w:type="dxa"/>
            <w:gridSpan w:val="6"/>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ind w:firstLine="360" w:firstLineChars="20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为农牧民区群众享受与城镇群众同样的广播电视服务提供了有效的保障，促进了各族群众安居乐业。</w:t>
            </w:r>
          </w:p>
        </w:tc>
        <w:tc>
          <w:tcPr>
            <w:tcW w:w="2750" w:type="dxa"/>
            <w:gridSpan w:val="7"/>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ind w:firstLine="360" w:firstLineChars="200"/>
              <w:jc w:val="left"/>
              <w:textAlignment w:val="center"/>
              <w:rPr>
                <w:rFonts w:hint="eastAsia" w:ascii="宋体" w:hAnsi="宋体" w:eastAsia="宋体" w:cs="宋体"/>
                <w:i w:val="0"/>
                <w:color w:val="000000"/>
                <w:sz w:val="18"/>
                <w:szCs w:val="18"/>
                <w:u w:val="none"/>
                <w:lang w:eastAsia="zh-CN"/>
              </w:rPr>
            </w:pPr>
            <w:r>
              <w:rPr>
                <w:rFonts w:hint="eastAsia" w:ascii="宋体" w:hAnsi="宋体" w:cs="宋体"/>
                <w:i w:val="0"/>
                <w:color w:val="000000"/>
                <w:sz w:val="18"/>
                <w:szCs w:val="18"/>
                <w:u w:val="none"/>
                <w:lang w:eastAsia="zh-CN"/>
              </w:rPr>
              <w:t>完成农牧区广播电视信源高清格式，实现广电城乡一体化，使农牧区居民收听、观看到高清的广播电视节目。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457"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59"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583"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4170" w:type="dxa"/>
            <w:gridSpan w:val="3"/>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591"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575"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527" w:type="dxa"/>
            <w:gridSpan w:val="2"/>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809" w:type="dxa"/>
            <w:gridSpan w:val="2"/>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839" w:type="dxa"/>
            <w:gridSpan w:val="2"/>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45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5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3"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170" w:type="dxa"/>
            <w:gridSpan w:val="3"/>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91"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7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27" w:type="dxa"/>
            <w:gridSpan w:val="2"/>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09" w:type="dxa"/>
            <w:gridSpan w:val="2"/>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39" w:type="dxa"/>
            <w:gridSpan w:val="2"/>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457"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年度绩效指标完成情况</w:t>
            </w:r>
          </w:p>
        </w:tc>
        <w:tc>
          <w:tcPr>
            <w:tcW w:w="359"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58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4170" w:type="dxa"/>
            <w:gridSpan w:val="3"/>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维护电线杆数量</w:t>
            </w:r>
          </w:p>
        </w:tc>
        <w:tc>
          <w:tcPr>
            <w:tcW w:w="59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≥200根</w:t>
            </w:r>
          </w:p>
        </w:tc>
        <w:tc>
          <w:tcPr>
            <w:tcW w:w="5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200根</w:t>
            </w:r>
          </w:p>
        </w:tc>
        <w:tc>
          <w:tcPr>
            <w:tcW w:w="527"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0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3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45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5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4170" w:type="dxa"/>
            <w:gridSpan w:val="3"/>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维护大喇叭数量</w:t>
            </w:r>
          </w:p>
        </w:tc>
        <w:tc>
          <w:tcPr>
            <w:tcW w:w="59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≥340个</w:t>
            </w:r>
          </w:p>
        </w:tc>
        <w:tc>
          <w:tcPr>
            <w:tcW w:w="5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340个</w:t>
            </w:r>
          </w:p>
        </w:tc>
        <w:tc>
          <w:tcPr>
            <w:tcW w:w="527"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0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3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45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5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4170" w:type="dxa"/>
            <w:gridSpan w:val="3"/>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维护村队数量</w:t>
            </w:r>
          </w:p>
        </w:tc>
        <w:tc>
          <w:tcPr>
            <w:tcW w:w="59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≥45个</w:t>
            </w:r>
          </w:p>
        </w:tc>
        <w:tc>
          <w:tcPr>
            <w:tcW w:w="5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45个</w:t>
            </w:r>
          </w:p>
        </w:tc>
        <w:tc>
          <w:tcPr>
            <w:tcW w:w="527"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0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3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45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5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4170" w:type="dxa"/>
            <w:gridSpan w:val="3"/>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村村通、户户通设备完好率</w:t>
            </w:r>
          </w:p>
        </w:tc>
        <w:tc>
          <w:tcPr>
            <w:tcW w:w="59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5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527"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0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3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20" w:hRule="atLeast"/>
        </w:trPr>
        <w:tc>
          <w:tcPr>
            <w:tcW w:w="45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5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4170" w:type="dxa"/>
            <w:gridSpan w:val="3"/>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资金使用完成时间</w:t>
            </w:r>
          </w:p>
        </w:tc>
        <w:tc>
          <w:tcPr>
            <w:tcW w:w="59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2021年12月31日</w:t>
            </w:r>
          </w:p>
        </w:tc>
        <w:tc>
          <w:tcPr>
            <w:tcW w:w="5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2021年12月31日</w:t>
            </w:r>
          </w:p>
        </w:tc>
        <w:tc>
          <w:tcPr>
            <w:tcW w:w="527"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0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3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40" w:hRule="atLeast"/>
        </w:trPr>
        <w:tc>
          <w:tcPr>
            <w:tcW w:w="45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5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4170" w:type="dxa"/>
            <w:gridSpan w:val="3"/>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投入使用金额</w:t>
            </w:r>
          </w:p>
        </w:tc>
        <w:tc>
          <w:tcPr>
            <w:tcW w:w="59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≤160000元</w:t>
            </w:r>
          </w:p>
        </w:tc>
        <w:tc>
          <w:tcPr>
            <w:tcW w:w="5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160000元</w:t>
            </w:r>
          </w:p>
        </w:tc>
        <w:tc>
          <w:tcPr>
            <w:tcW w:w="527"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0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3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45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59"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58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4170" w:type="dxa"/>
            <w:gridSpan w:val="3"/>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9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27"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0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3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45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5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4170" w:type="dxa"/>
            <w:gridSpan w:val="3"/>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各族群众接收到更多的电视节目，及时听到党的声音</w:t>
            </w:r>
          </w:p>
        </w:tc>
        <w:tc>
          <w:tcPr>
            <w:tcW w:w="59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显著提升</w:t>
            </w:r>
          </w:p>
        </w:tc>
        <w:tc>
          <w:tcPr>
            <w:tcW w:w="5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达到年度指标</w:t>
            </w:r>
          </w:p>
        </w:tc>
        <w:tc>
          <w:tcPr>
            <w:tcW w:w="527"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80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83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45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5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4170" w:type="dxa"/>
            <w:gridSpan w:val="3"/>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9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27"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0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3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45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5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4170" w:type="dxa"/>
            <w:gridSpan w:val="3"/>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9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27"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0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3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45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58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4170" w:type="dxa"/>
            <w:gridSpan w:val="3"/>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群众满意度</w:t>
            </w:r>
          </w:p>
        </w:tc>
        <w:tc>
          <w:tcPr>
            <w:tcW w:w="59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≥97%</w:t>
            </w:r>
          </w:p>
        </w:tc>
        <w:tc>
          <w:tcPr>
            <w:tcW w:w="5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527"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0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3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6735" w:type="dxa"/>
            <w:gridSpan w:val="8"/>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527"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0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100.00分</w:t>
            </w:r>
          </w:p>
        </w:tc>
        <w:tc>
          <w:tcPr>
            <w:tcW w:w="83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bl>
    <w:p>
      <w:pPr>
        <w:pStyle w:val="2"/>
        <w:rPr>
          <w:rFonts w:hint="eastAsia"/>
        </w:rPr>
      </w:pP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2A41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9"/>
    <w:pPr>
      <w:keepNext/>
      <w:keepLines/>
      <w:spacing w:before="260" w:after="260" w:line="416" w:lineRule="auto"/>
      <w:outlineLvl w:val="2"/>
    </w:pPr>
    <w:rPr>
      <w:rFonts w:ascii="Times New Roman" w:hAnsi="Times New Roman"/>
      <w:b/>
      <w:bCs/>
      <w:sz w:val="32"/>
      <w:szCs w:val="32"/>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2023-08-23T11:17:06Z</dcterms:created>
  <dc:creator>Administrator</dc:creator>
  <cp:lastModifiedBy>Administrator</cp:lastModifiedBy>
  <dcterms:modified xsi:type="dcterms:W3CDTF">2023-08-23T11:17:23Z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