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新疆塔城地区裕民县影剧院</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我院的财务工作在上级主管部门的指导和帮助下，在局党委的正确领导下，围绕宣传系统的中心工作，认真实施国库集中支付，进一步强化了预算管理，确保了预算收入的顺利完成。在预算执行过程中，我们认真贯彻执行国家的财政方针政策，严格执行财务制度，坚持实事求是，勤俭办事的方针。努力做到了开源节流，实现了以项目优化支出结构，增长精神文化投入，改善放映条件的目标。以及承办县委、政府、县委组织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新疆塔城地区裕民县影剧院2021年度，实有人数10人，其中：在职人员5人，离休人员0人，退休人员5人。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从部门决算单位构成看，新疆塔城地区裕民县影剧院部门决算包括：新疆塔城地区裕民县影剧院决算。单位无下属预算单位，下设2个处室，分别是：办公室、财务室。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2021年度本年收入83.95万元，与上年相比，增加4.37万元，增长5.49%</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本年退休人员去世一人，相应经费支出增加。以及每年社保正常调整增资</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本年支出83.95万元，与上年相比，增加3.24万元，增长4.01%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本年退休人员去世一人，相应经费支出增加。以及每年社保正常调整增资</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83.95万元，其中：财政拨款收入83.95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2021年度本年支出83.95万元，其中：基本支出74.59万元，占88.85%；项目支出9.36万元，占11.15%；上缴上级支出0.00万元，占0.00%；经营支出0.00万元，占0.00%；对附属单位补助支出0.00万元，占0.00%。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2021年度财政拨款收入83.95万元，与上年相比，增加4.37万元，增长5.49%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本年退休人员去世一人，相应经费支出增加。以及每年社保正常调整增资</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财政拨款支出83.95万元，与上年相比，增加3.24万元，增长4.01%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本年退休人员去世一人，相应经费支出增加。以及每年社保正常调整增资</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与年初预算数相比情况：财政拨款收入年初预算数74.38万元，决算数83.95万元，预决算差异率12.87%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本年增加农村公益电影放映项目资金，社保基数每年正常调整增加及一退休人抚恤金相关支出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财政拨款支出年初预算数74.38万元，决算数83.95万元，预决算差异率12.87%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本年增加农村公益电影放映项目资金，社保基数每年正常调整增加及一退休人抚恤金相关支出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2021年度一般公共预算财政拨款支出83.95万元。按功能分类科目项级科目公开，其中：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2070607 电影59.48万元;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2080502 事业单位离退休8.83万元;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机关事业单位基本养老保险缴费支出5.58万元;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机关事业单位职业年金缴费支出2.79万元;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事业单位医疗3.26万元;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住房公积金4.01万元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2021年度一般公共预算财政拨款基本支出74.59万元，其中：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人员经费71.43万元，</w:t>
      </w:r>
      <w:bookmarkStart w:id="52" w:name="_GoBack"/>
      <w:bookmarkEnd w:id="52"/>
      <w:r>
        <w:rPr>
          <w:rFonts w:hint="eastAsia" w:ascii="仿宋_GB2312" w:eastAsia="仿宋_GB2312"/>
          <w:color w:val="auto"/>
          <w:sz w:val="32"/>
          <w:szCs w:val="32"/>
          <w:highlight w:val="none"/>
          <w:lang w:val="en-US" w:eastAsia="zh-CN"/>
        </w:rPr>
        <w:t>包括：基本工资17.57万元、津贴补贴20.35万元、奖金8.11万元、机关事业单位基本养老保险缴费5.58万元、职业年金缴费2.79万元、职工基本医疗保险缴费3.26万元、其他社会保障缴费0.24万元、住房公积金4.01万元、退休费0.97万元、抚恤金5.34万元、生活补助0.69万元、医疗费补助2.52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公用经费3.16万元，包括：电费0.04万元、办公费0.1万元、租赁费0.3万元、劳务费1.64万元、工会经费0.67万元、福利费0.41万元。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我单位无此项预算财政拨款收入支出安排</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2021年度新疆塔城地区裕民县影剧院（事业单位）公用经费3.16万元，比上年减少5.46万元，降低63.34%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本年压缩开支,减少办公维修费支出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2021年度政府采购支出总额0.63万元，其中：政府采购货物支出0.29万元、政府采购工程支出0.00万元、政府采购服务支出0.34万元。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授予中小企业合同金额0.63万元，占政府采购支出总额的100%，其中：授予小微企业合同金额0.63万元，占政府采购支出总额的100.00%。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1740.00（平方米），价值90.41万元。车辆1辆，价值5.88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我单位有一辆农村电影放映业务用车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9.36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加强财务管理，严格财务审核，在费用报账支付时，按照预算规定的费用项目和用途进行资金使用审核，杜绝超支现象的发生</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国产电影宣传力度应加大，以及农村放映员放映专业知识有待加强提高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本单位将严把资金使用关。资金使用都需经过扶贫、财政、相关技术部门进行联合验收，方可进行报账，对资金使用质量进行有效的监管。二是我单位今后加大宣传力度，开展学习和培训活动，为预算绩效管理相关人员提升业务素质和思想认识。将绩效评价和监控融入到绩效管理的整个过程，提高绩效监控的效率和效果</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MzZhMWRhYzg5ZTJhNDA1ZTgxYzZmMDA0OWRhZjk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556E83"/>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20514"/>
    <w:rsid w:val="32082F98"/>
    <w:rsid w:val="32A6143E"/>
    <w:rsid w:val="336D09C0"/>
    <w:rsid w:val="354A37A9"/>
    <w:rsid w:val="36273CF4"/>
    <w:rsid w:val="36827C07"/>
    <w:rsid w:val="36AA5F52"/>
    <w:rsid w:val="36C058A7"/>
    <w:rsid w:val="36E000FD"/>
    <w:rsid w:val="374146AF"/>
    <w:rsid w:val="37D36EBD"/>
    <w:rsid w:val="399731E4"/>
    <w:rsid w:val="3ADE39A4"/>
    <w:rsid w:val="3AFB1A4C"/>
    <w:rsid w:val="3B3B0C61"/>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44F14"/>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13130A"/>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4372</Words>
  <Characters>4813</Characters>
  <Lines>0</Lines>
  <Paragraphs>0</Paragraphs>
  <TotalTime>8</TotalTime>
  <ScaleCrop>false</ScaleCrop>
  <LinksUpToDate>false</LinksUpToDate>
  <CharactersWithSpaces>4853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2023-09-19T09:29:38Z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