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新疆塔城地区裕民县人民代表大会常务委员会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宪法》和《中华人民共和国地方各级人民代表大会和地方各级人民政府组织》的规定，我部门的主要职能是：在本级行政区域内保证宪法、法律、行政法规和上级人民代表大会及其常委会决议、决定的遵守和执行；领导或者主持本级人民代表大会代表的选举；讨论决定本行政区域内的政治、经济、教育、科学、文化、卫生、环境和资源保护、民政、民族等工作的重大事项；监督本级人民政府、人民法院和人民检察院的工作，联系本级人民代表大会代表、受理人民群众对上述机关和国家工作人员的申诉和意见及国家法律规定的其他职能；撤销本级人民政府不适当的决定和命令；组织人民代表开展视察、调查和检查活动；指导各乡镇人大主席团的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新疆塔城地区裕民县人民代表大会常务委员会2021年度，实有人数52人，其中：在职人员22人，离休人员0人，退休人员30人。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人民代表大会常务委员会部门决算包括：新疆塔城地区裕民县人民代表大会常务委员会决算。单位无下属预算单位，下设5个处室，分别是：办公室、民族法制委、财经委、科教文卫委、法律建设服务中心(人大预算联网服务中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2021年度本年收入426.24万元，与上年相比，增加0.73万元，增长0.17%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增加在职人员普调工资、晋升、绩效奖金差额、综合治理奖金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本年支出426.24万元，与上年相比，增加0.73万元，增长0.17%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增加在职人员普调工资、晋升、绩效奖金差额、综合治理奖金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426.24万元，其中：财政拨款收入426.24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2021年度本年支出426.24万元，其中：基本支出417.42万元，占97.93%；项目支出8.83万元，占2.07%；上缴上级支出0.00万元，占0.00%；经营支出0.00万元，占0.00%；对附属单位补助支出0.00万元，占0.00%。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2021年度财政拨款收入426.24万元，与上年相比，增加0.73万元，增长0.17%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增加在职人员普调工资、晋升、绩效奖金差额、综合治理奖金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财政拨款支出426.24万元，与上年相比，增加0.73万元，增长0.17%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增加在职人员普调工资、晋升、绩效奖金差额、综合治理奖金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与年初预算数相比情况：财政拨款收入年初预算数375.15万元，决算数426.24万元，预决算差异率13.62%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增加在职人员普调工资、晋升、绩效奖金差额、综合治理奖金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财政拨款支出年初预算数375.15万元，决算数426.24万元，预决算差异率13.62%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增加在职人员普调工资、晋升、绩效奖金差额、综合治理奖金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2021年度一般公共预算财政拨款支出426.24万元。按功能分类科目项级科目公开，其中：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2010101 行政运行277.53万元;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2010104 人大会议4.89万元;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2010108 代表工作4.34万元;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2010199 其他人大事务支出6.00万元;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行政单位离退休55.34万元;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机关事业单位基本养老保险缴费支出29.89万元;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行政单位医疗17.39万元;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公务员医疗补助6.66万元;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住房公积金21.38万元;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其他支出2.83万元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2021年度一般公共预算财政拨款基本支出417.42万元，其中：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人员经费381.12万元，包括：基本工资106.59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、津贴补贴96.91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、奖金46.88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、机关事业单位基本养老保险缴费29.89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、职工基本医疗保险缴费17.39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、公务员医疗补助缴费6.65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、其他社会保障缴费0.08万元、住房公积金21.38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、退休费6.15万元、抚恤金19.92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、医疗费补助29.28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公用经费36.29万元，包括：办公费5.32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、邮电费1.53</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、取暖费4.51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、差旅费3.42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、会议费4.89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、培训费1.54</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、劳务费0.84</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、工会经费3.57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、福利费1.67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、公务用车运行维护费8.00</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、其他交通费用1.00</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2021年度一般公共预算“三公”经费支出决算8.00万元，比上年减少20.01万元，降低71.44%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本年度减少公务用车购置20.01万元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公务用车购置及运行维护费支出8.00万元，占100%，比上年减少20.01万元，降低71.44%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本年度减少公务用车购置20.01万元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公务用车购置及运行维护费8.00万元，其中，公务用车购置费0.00万元，公务用车运行维护费8.00万元。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公务用车运行、保险、维护费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公务用车购置数0辆，公务用车保有量4辆。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无开支内容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与年初预算数相比情况：一般公共预算“三公”经费支出年初预算数8.00万元，决算数8.00万元，预决算差异率0.00%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严格控制“三公”经费支出，按照预算执行</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w:t>
      </w:r>
      <w:r>
        <w:rPr>
          <w:rFonts w:hint="eastAsia" w:ascii="仿宋_GB2312" w:hAnsi="宋体" w:eastAsia="仿宋_GB2312" w:cs="宋体"/>
          <w:color w:val="auto"/>
          <w:kern w:val="0"/>
          <w:sz w:val="32"/>
          <w:szCs w:val="32"/>
          <w:highlight w:val="none"/>
          <w:lang w:val="en-US" w:eastAsia="zh-CN"/>
        </w:rPr>
        <w:t>公务用车购置</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公务用车运行费预算数8.00万元，决算数8.00万元，预决算差异率0.00%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2021年本单位无公务接待费支出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2021年度新疆塔城地区裕民县人民代表大会常务委员会（行政单位和参照公务员法管理事业单位）机关运行经费支出36.29万元，比上年减少73.56万元，降低66.96%</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2021年厉行节约，压缩机关运行经费支出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2021年度政府采购支出总额12.43万元，其中：政府采购货物支出3.98万元、政府采购工程支出0.00万元、政府采购服务支出8.45万元。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授予中小企业合同金额12.43万元，占政府采购支出总额的100%，其中：授予小微企业合同金额12.43万元，占政府采购支出总额的100.00%。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4辆，价值123.16万元，其中：副部（省）级及以上领导用车0辆、主要领导干部用车0辆、机要通信用车0辆、应急保障用车0辆、执法执勤用车0辆、特种专业技术用车0辆、离退休干部用车0辆、其他用车4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日常公务用车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8.83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聚焦总目标，持续用力，坚定坚决落实维稳各项措施；围绕“三会”服务，发挥参谋助手作用，不断提高办公效率；充分发挥代表作用，夯实基础工作，提升代表依法履职水平；抓好自身建设，改进作风，切实提高人大干部的整体素质；改善了基层人大的办公基层设施，提高了工作效率，解决了基层人大经费经费不足的困难，适应新时代对日常办公的要求；二是紧紧围绕自治区党委提出的“一个目标、两项任务、五件好事”要求积极开展工作，落实自治区、地区</w:t>
      </w:r>
      <w:bookmarkStart w:id="52" w:name="_GoBack"/>
      <w:bookmarkEnd w:id="52"/>
      <w:r>
        <w:rPr>
          <w:rFonts w:hint="eastAsia" w:ascii="仿宋_GB2312" w:eastAsia="仿宋_GB2312"/>
          <w:color w:val="auto"/>
          <w:sz w:val="32"/>
          <w:szCs w:val="32"/>
          <w:highlight w:val="none"/>
          <w:lang w:val="en-US" w:eastAsia="zh-CN"/>
        </w:rPr>
        <w:t>工作要点，持续深入做好群众工作，推进村队的持续稳定和发展，解决工作队驻村期间在开展改善村容村貌、扶贫帮困、为民办好事实事等各项工作时及冬季取暖费用等。送政策、访贫问苦、为群众送温暖、送服务、送信息，送温暖，拓宽致富门路，推动村级经济发展。落实社会稳定和长治久安总目标，引导各族人民感党恩、听党话、跟党走</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一是资金到位较晚项目实施略缓慢；二是年初计划不够详细，执行时略有变动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预算执行中，对资金运行状况和绩效目标预期实现程度开展绩效监控，及时发现并纠正绩效运行中存在的问题，确保绩效目标如期实现。对绩效监控中发现绩效目标无法实现的项目，要通过中期评估予以及时调整；二是建议工作队年初统筹规划好本年的资金使用大致情况，提高资金使用率，按照工作开展情况同步进行支付工作准备</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81542B"/>
    <w:rsid w:val="01DD6073"/>
    <w:rsid w:val="02014C29"/>
    <w:rsid w:val="02890C73"/>
    <w:rsid w:val="04044ED1"/>
    <w:rsid w:val="041C5E18"/>
    <w:rsid w:val="04722B61"/>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35773E"/>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3E4770"/>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8C6513F"/>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585FD6"/>
    <w:rsid w:val="316F250C"/>
    <w:rsid w:val="31BD13AC"/>
    <w:rsid w:val="31C63837"/>
    <w:rsid w:val="32082F98"/>
    <w:rsid w:val="32A6143E"/>
    <w:rsid w:val="336D09C0"/>
    <w:rsid w:val="354A37A9"/>
    <w:rsid w:val="36273CF4"/>
    <w:rsid w:val="36827C07"/>
    <w:rsid w:val="36AA5F52"/>
    <w:rsid w:val="36AE4FC0"/>
    <w:rsid w:val="36C058A7"/>
    <w:rsid w:val="36E000FD"/>
    <w:rsid w:val="374146AF"/>
    <w:rsid w:val="37D36EBD"/>
    <w:rsid w:val="39433C22"/>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130852"/>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3C947E7"/>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5A57D9"/>
    <w:rsid w:val="6B68175F"/>
    <w:rsid w:val="6B8E27EF"/>
    <w:rsid w:val="6C360AF8"/>
    <w:rsid w:val="6C6B3009"/>
    <w:rsid w:val="6C6B3214"/>
    <w:rsid w:val="6C747BB9"/>
    <w:rsid w:val="6D3D14C4"/>
    <w:rsid w:val="6DF26FFC"/>
    <w:rsid w:val="6E094282"/>
    <w:rsid w:val="6ED34999"/>
    <w:rsid w:val="6F29157B"/>
    <w:rsid w:val="6F531BF4"/>
    <w:rsid w:val="700F486D"/>
    <w:rsid w:val="701074C0"/>
    <w:rsid w:val="706E4FE7"/>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4917</Words>
  <Characters>5436</Characters>
  <Lines>0</Lines>
  <Paragraphs>0</Paragraphs>
  <TotalTime>7</TotalTime>
  <ScaleCrop>false</ScaleCrop>
  <LinksUpToDate>false</LinksUpToDate>
  <CharactersWithSpaces>5496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ymxrd</cp:lastModifiedBy>
  <dcterms:modified xsi:type="dcterms:W3CDTF">2023-09-19T09:10:25Z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