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新疆塔城地区裕民县疾病预防控制中心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（一）完成上级下达的疾病预防控制任务，负责县内疾病预防控制具体工作的管理和落实；负责县内疫苗使用管理，组织实施免疫、消毒、控制病媒生物的危害；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（二）负责县内突发公共卫生事件的监测调查与信息收集、报告，落实具体控制措施；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（三）开展病原微生物常规检验和常见污染物的检验；</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（四）承担卫生行政部门委托的与卫生监督执法相关的检验检测任务；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（五）指导县内医疗卫生机构、社区卫生组织和农村乡(镇)卫生院开展卫生防病工作，负责考核和评价，对从事疾病预防控制相关工作人员进行培训；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（六）负责疫情和公共卫生健康危害因素监测、报告，指导乡、村和有关部门收集、报告疫情；</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（七）开展卫生宣传教育与健康促进活动，普及卫生防病知识。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新疆塔城地区裕民县疾病预防控制中心2021年度，实有人数52人，其中：在职人员24人，离休人员0人，退休人员28人。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从部门决算单位构成看，新疆塔城地区裕民县疾病预防控制中心部门决算包括：新疆塔城地区裕民县疾病预防控制中心决算。单位无下属预算单位，下设4个处室，分别是：结防科、卫生科、地病科、防疫科。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2021年度本年收入438.83万元，与上年相比，减少386.51万元，降低46.83%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2021年未开展实验室改造项目用款及防疫拨款</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本年支出438.83万元，与上年相比，减少407.32万元，降低48.14%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2021年未开展实验室改造项目用款及防疫拨款</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438.83万元，其中：财政拨款收入438.83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2021年度本年支出438.83万元，其中：基本支出367.54万元，占83.75%；项目支出71.29万元，占16.25%；上缴上级支出0.00万元，占0.00%；经营支出0.00万元，占0.00%；对附属单位补助支出0.00万元，占0.00%。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2021年度财政拨款收入438.83万元，与上年相比，减少386.51万元，降低46.83%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2021年2021年未开展实验室改造项目用款及防疫拨款。未开展实验室改造项目用款及防疫拨款</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财政拨款支出438.83万元，与上年相比，减少402.98万元，降低47.87%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2021年未开展实验室改造项目用款及防疫拨款</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与年初预算数相比情况：财政拨款收入年初预算数360.98万元，决算数438.83万元，预决算差异率21.57%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2021年政策上调资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财政拨款支出年初预算数360.98万元，决算数438.83万元，预决算差异率21.57%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增加了防疫项目的支出和2021年政策上调资支出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2021年度一般公共预算财政拨款支出438.83万元。按功能分类科目项级科目公开，其中：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事业单位离退休20.92万元;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机关事业单位基本养老保险缴费支出29.00万元;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2100401 疾病预防控制机构278.59万元;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基本公共卫生服务40.72万元;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重大公共卫生服务28.17万元;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其他公共卫生支出2.40万元;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事业单位医疗17.28万元;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住房公积金21.75万元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2021年度一般公共预算财政拨款基本支出367.54万元，其中：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338.93万元，包括：基本工资193.63万元、津贴补贴18.26万元、奖金4.61万元、绩效工资32.08万元、机关事业单位基本养老保险缴费29万元、职工基本医疗保险缴费17.28万元、住房公积金21.75万元、退休费5.05万元、生活补助1.4万元、医疗费补助15.87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公用经费28.61万元，包括：办公费14.93万元、取暖费6.79万元、工会经费3.72万元、福利费1.2万元、公务用车运行维护费1.96万元。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2021年度一般公共预算“三公”经费支出决算1.96万元，比上年减少0.02万元，降低1.01%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车辆保险费的减少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公务用车购置及运行维护费支出1.96万元，占100%，比上年减少0.02万元，降低1.01%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车辆保险费的减少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公务用车购置及运行维护费1.96万元，其中，公务用车购置费0.00万元，公务用车运行维护费1.96万元。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车辆的保险费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与年初预算数相比情况：一般公共预算“三公”经费支出年初预算数2.00万元，决算数1.96万元，预决算差异率-2.00%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车辆保险费的减少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公务用车运行费预算数2.00万元，决算数1.96万元，预决算差异率-2.00%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车辆保险费的减少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2021年度新疆塔城地区裕民县疾病预防控制中心（事业单位）日常公用经费28.61万元，比上年减少5.83万元，降低16.93%</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压缩三公经费的支出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2021年度政府采购支出总额9.75万元，其中：政府采购货物支出8.99万元、政府采购工程支出0.00万元、政府采购服务支出0.76万元。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1688.00（平方米），价值126.52万元。车辆1辆，价值18.18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送疫苗、下乡督导用车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一是各项工资、奖金、按时足额发放；二是保障疾控中心在职职工正常办公条件；三是围绕目标任务</w:t>
      </w:r>
      <w:bookmarkStart w:id="52" w:name="_GoBack"/>
      <w:bookmarkEnd w:id="52"/>
      <w:r>
        <w:rPr>
          <w:rFonts w:hint="eastAsia" w:ascii="仿宋_GB2312" w:eastAsia="仿宋_GB2312"/>
          <w:color w:val="auto"/>
          <w:sz w:val="32"/>
          <w:szCs w:val="32"/>
          <w:highlight w:val="none"/>
          <w:lang w:val="en-US" w:eastAsia="zh-CN"/>
        </w:rPr>
        <w:t>，扎实推进疾控中心各项工作；四是立足服务民生，提高疾控中心医疗服务水平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一是部门之间在工作上配合不到位；二是部门预算控制工作需进一步提高；三是单位制定有各项管理制度，但在执行过程中存在一定偏差，有待加强和完善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下一步改进措施：一是加强部门工作沟通，协调各项职能；二是完善单位各项管理制度，加强财务监管力度，杜绝违规现象发生；三是细化预算指标，提高预算科学性。预算编制前根据年度内单位可预见的工作任务，确定单位年度预算目标，细化预算指标，科学合理编制部门预算，推进预算编制科学化、准确化。根据实际情况，定期做好预算执行分析，掌握预算执行进度，及时找出预算实际执行情况与预算目标之间存在的差距，纠正偏差，为下一次科学、准确地编制部门预算积累经验；四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3Yjg2MzNmMDYxZDQyZTlkYTkxNjNjODk4YjAwYzIifQ=="/>
  </w:docVars>
  <w:rsids>
    <w:rsidRoot w:val="00000000"/>
    <w:rsid w:val="0131169A"/>
    <w:rsid w:val="01734C27"/>
    <w:rsid w:val="01DD6073"/>
    <w:rsid w:val="02014C29"/>
    <w:rsid w:val="02890C73"/>
    <w:rsid w:val="039C3694"/>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CF522B"/>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A0348D"/>
    <w:rsid w:val="14284AED"/>
    <w:rsid w:val="15CF1AC0"/>
    <w:rsid w:val="17083B88"/>
    <w:rsid w:val="1742163F"/>
    <w:rsid w:val="176E53C3"/>
    <w:rsid w:val="1805797E"/>
    <w:rsid w:val="18124080"/>
    <w:rsid w:val="182E453B"/>
    <w:rsid w:val="189A656F"/>
    <w:rsid w:val="198202DA"/>
    <w:rsid w:val="19AF7A44"/>
    <w:rsid w:val="1A6109EF"/>
    <w:rsid w:val="1B424E9E"/>
    <w:rsid w:val="1BB07761"/>
    <w:rsid w:val="1BF0336A"/>
    <w:rsid w:val="1C2A54A9"/>
    <w:rsid w:val="1C3737FD"/>
    <w:rsid w:val="1C88403A"/>
    <w:rsid w:val="1CB729A5"/>
    <w:rsid w:val="1CC56B97"/>
    <w:rsid w:val="1D34682A"/>
    <w:rsid w:val="1D4A73D5"/>
    <w:rsid w:val="1D9C2D67"/>
    <w:rsid w:val="1DAF458D"/>
    <w:rsid w:val="1DB45E3C"/>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027C88"/>
    <w:rsid w:val="2C1E18A5"/>
    <w:rsid w:val="2C604703"/>
    <w:rsid w:val="2D1136DF"/>
    <w:rsid w:val="2D2B5CBF"/>
    <w:rsid w:val="2D8C755C"/>
    <w:rsid w:val="2DA02D04"/>
    <w:rsid w:val="2DFD193C"/>
    <w:rsid w:val="2E9F6859"/>
    <w:rsid w:val="2EC544A9"/>
    <w:rsid w:val="2F0C26B1"/>
    <w:rsid w:val="2F116303"/>
    <w:rsid w:val="2FC614E6"/>
    <w:rsid w:val="301B561A"/>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F618CF"/>
    <w:rsid w:val="40161B73"/>
    <w:rsid w:val="4079165E"/>
    <w:rsid w:val="41AD1AA2"/>
    <w:rsid w:val="41B20E4F"/>
    <w:rsid w:val="41D31F00"/>
    <w:rsid w:val="42B76840"/>
    <w:rsid w:val="43316970"/>
    <w:rsid w:val="43C25123"/>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BC45D8"/>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7B7643"/>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91041D"/>
    <w:rsid w:val="6ED34999"/>
    <w:rsid w:val="6F29157B"/>
    <w:rsid w:val="6F531BF4"/>
    <w:rsid w:val="700F486D"/>
    <w:rsid w:val="701074C0"/>
    <w:rsid w:val="707F51EF"/>
    <w:rsid w:val="713E488C"/>
    <w:rsid w:val="71833EC6"/>
    <w:rsid w:val="718D4E0D"/>
    <w:rsid w:val="71976AA4"/>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6A1C7D"/>
    <w:rsid w:val="78FD1F20"/>
    <w:rsid w:val="79870A12"/>
    <w:rsid w:val="7A1C6325"/>
    <w:rsid w:val="7A7632AD"/>
    <w:rsid w:val="7AC8434A"/>
    <w:rsid w:val="7B3910B5"/>
    <w:rsid w:val="7B4C7884"/>
    <w:rsid w:val="7B902D83"/>
    <w:rsid w:val="7BAB7A6D"/>
    <w:rsid w:val="7D5B7B53"/>
    <w:rsid w:val="7D710817"/>
    <w:rsid w:val="7F5851EA"/>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24</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