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新疆塔城地区裕民县交通运输局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1、贯彻落实交通运输行业的法律、法规、规章以及政策措施。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2、拟定交通运输发展规划并监督实施。会同有关部门组织编制综合交通运输体系规划。参与拟定交通物流业发展战略与规划。</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3、承担道路交通运输综合管理及其市场监管工作。监督道路运输有关政策、准入制度、技术规范和运营规范的实施。指导城乡交通运输协调发展和城乡交通运输一体化，指导城市公共交通、出租汽车行业管理。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4、承担公路建设市场监管工作，维护交通建设市场公平竞争秩序。监督公路工程建设有关制度和技术规范的实施。承担管辖公路交通建设项目的招投标监督管理、市场准入、竣工验收和质量监督等工作。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5、负责管辖范围内的公路建设、养护、管理，依法保护公路路产路权。监督指导货运车辆超限治理工作。负责公路建设、管理、养护、运营工作。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6、会同有关部门培育交通运输市场、交通建设市场，负责培育和管理公路养护市场。负责交通运输行业信用体系建设工作。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7、负责交通运输行业安全生产的监督管理。负责运行、监测和应急处置协调工作，监测分析交通运输运行情况，发布交通运输有关信息。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8、监督指导交通运输行政执法工作。指导交通运输行业的法制宣传、行政复议、行政应诉监督工作。指导交通运输行业职业教育和培训工作。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9、完成县委、政府交办的其他任务。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新疆塔城地区裕民县交通运输局2021年度，实有人数18人，其中：在职人员13人，离休人员0人，退休人员5人。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交通运输局部门决算包括：新疆塔城地区裕民县交通运输局决算。单位无下属预算单位，下设3个处室，分别是：裕民县交通运输综合行政执法大队、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b w:val="0"/>
          <w:bCs w:val="0"/>
          <w:color w:val="auto"/>
          <w:spacing w:val="0"/>
          <w:sz w:val="32"/>
          <w:szCs w:val="32"/>
          <w:highlight w:val="none"/>
          <w:lang w:val="en-US" w:eastAsia="zh-CN"/>
        </w:rPr>
        <w:t>2021年度本年收入882.03万元，与上年相比，减少5,232.45万元，降低85.57%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本年度项目支出较少</w:t>
      </w:r>
      <w:r>
        <w:rPr>
          <w:rFonts w:hint="eastAsia" w:ascii="仿宋_GB2312" w:eastAsia="仿宋_GB2312"/>
          <w:b w:val="0"/>
          <w:bCs w:val="0"/>
          <w:color w:val="auto"/>
          <w:sz w:val="32"/>
          <w:szCs w:val="32"/>
          <w:highlight w:val="none"/>
          <w:lang w:eastAsia="zh-CN"/>
        </w:rPr>
        <w:t>。</w:t>
      </w:r>
      <w:r>
        <w:rPr>
          <w:rFonts w:hint="eastAsia" w:ascii="仿宋_GB2312" w:eastAsia="仿宋_GB2312"/>
          <w:color w:val="auto"/>
          <w:sz w:val="32"/>
          <w:szCs w:val="32"/>
          <w:highlight w:val="none"/>
          <w:lang w:val="en-US" w:eastAsia="zh-CN"/>
        </w:rPr>
        <w:t>包括：1、2020年巴尔鲁克山林场林区建设项目占用161团林地征补费、草地征补费裕党财办［2021］24号91.36万元，2、2021年YXZW化解裕财字［2021］001号38万元，3、S317卡点大型货运车辆消杀暖棚建设裕党财办［2020］178号69.06万元，4、城市公交油价补贴塔地财建［2021］6号裕财建［2021］5号6.53万元，5、农村道路客运油价补贴塔地财建［2021］6号裕财建［2021］5号84.79万元，6、2021年车辆购置税收收入补助地方（第二批）塔地财建［2021］78号295.9万元，7、冬季抗风雪、保交通裕财字［2021］001号10万元，8、工作队经费塔地财预［2021］21号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z w:val="32"/>
          <w:szCs w:val="32"/>
          <w:highlight w:val="none"/>
          <w:lang w:val="en-US" w:eastAsia="zh-CN"/>
        </w:rPr>
        <w:t>本年支出882.03万元，与上年相比，减少6,098.98万元，降低87.37%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上年结转项目本年应支付，实际未支付；本年度建设项目较少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882.03万元，其中：财政拨款收入882.03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2021年度本年支出882.03万元，其中：基本支出281.39万元，占31.90%；项目支出600.64万元，占68.10%；上缴上级支出0.00万元，占0.00%；经营支出0.00万元，占0.00%；对附属单位补助支出0.00万元，占0.00%。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2021年度财政拨款收入882.03万元，与上年相比，减少5,194.10万元，降低85.48%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项目支出较少，包括：1、2020年巴尔鲁克山林场林区建设项目占用161团林地征补费/草地征补费裕党财办［2021］24号91.36万元，2、2021年YXZW化解裕财字［2021］001号38万元，3、S317卡点大型货运车辆消杀暖棚建设裕党财办［2020］178号69.06万元，4、城市公交油价补贴塔地财建［2021］6号裕财建［2021］5号6.53万元，5、农村道路客运油价补贴塔地财建［2021］6号裕财建［2021］5号84.79万元，6、2021年车辆购置税收收入补助地方（第二批）塔地财建［2021］78号295.9万元，7、冬季抗风雪、保交通裕财字［2021］001号10万元，8、工作队经费塔地财预［2021］21号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财政拨款支出882.03万元，与上年相比，减少6,060.63万元，降低87.30%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上年结转项目本年应支付，实际未支付；本年度建设项目较少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与年初预算数相比情况：财政拨款收入年初预算数878.92万元，决算数882.03万元，预决算差异率0.35%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人员工资调整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财政拨款支出年初预算数878.92万元，决算数882.03万元，预决算差异率0.35%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人员工资调整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2021年度一般公共预算财政拨款支出752.67万元。按功能分类科目项级科目公开，其中：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行政单位离退休5.29万元;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机关事业单位基本养老保险缴费支出18.09万元;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机关事业单位职业年金缴费支出5.20万元;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行政单位医疗10.56万元;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公务员医疗补助3.71万元;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2140101 行政运行165.54万元;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2140199 其他公路水路运输支出69.06万元;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2140401 对城市公交的补贴6.53万元;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2140402 对农村道路客运的补贴84.79万元;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2140601 车辆购置税用于公路等基础设施建设支出295.90万元;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2149901 公共交通运营补助60.00万元;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住房公积金13.00万元;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2240699 其他自然灾害防治支出10.00万元;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2021年度一般公共预算财政拨款基本支出281.39万元，其中：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209.05万元，包括：基本工资64.11万元、津贴补贴59.53万元、奖金19.40万元、机关事业单位基本养老保险缴费18.09万元、职业年金缴费5.20万元、职工基本医疗保险缴费10.56万元、公务员医疗补助缴费3.71万元、其他社会保障缴费0.26万元、住房公积金13.00万元、其他工资福利支出9.90万元、退休费0.92万元、医疗费补助4.37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公用经费72.33</w:t>
      </w:r>
      <w:bookmarkStart w:id="52" w:name="_GoBack"/>
      <w:bookmarkEnd w:id="52"/>
      <w:r>
        <w:rPr>
          <w:rFonts w:hint="eastAsia" w:ascii="仿宋_GB2312" w:eastAsia="仿宋_GB2312"/>
          <w:color w:val="auto"/>
          <w:sz w:val="32"/>
          <w:szCs w:val="32"/>
          <w:highlight w:val="none"/>
          <w:lang w:val="en-US" w:eastAsia="zh-CN"/>
        </w:rPr>
        <w:t>万元，包括：办公费5.26万元、邮电费0.50万元、取暖费1.10万元、差旅费0.20万元、工会经费2.43万元、福利费1.45万元、公务用车运行维护费1.39万元、费用补贴60.00万元。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2021年度一般公共预算“三公”经费支出决算1.39万元，比上年减少0.61万元，降低30.50%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本年压减公务用车支出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公务用车购置及运行维护费支出1.39万元，占100%，比上年减少0.61万元，降低30.50%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本年压减公务用车支出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公务用车购置及运行维护费1.39万元，其中，公务用车购置费0.00万元，公务用车运行维护费1.39万元。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车辆保险、车辆维修养护、车辆用油等</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与年初预算数相比情况：一般公共预算“三公”经费支出年初预算数4.00万元，决算数1.39万元，预决算差异率-65.25%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年初按2辆公务用车做预算，实际按1辆车执行</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公务用车运行费预算数4.00万元，决算数1.39万元，预决算差异率-65.25%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年初按2辆公务用车做预算，实际按1辆车执行</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无此项预算</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性基金预算财政拨款收入129.36万元，与上年相比，增加99.66万元，增长335.56%，主要原因是：本年度政府性基金安排的预算支出增加。其中：2020年巴尔鲁克山林场林区建设项目占用161团林地征补费、草地征补费（裕党财办［2021］24号）91.36万元；2021年支付以前年度工程款（裕财字［2021］001号）38万元。政府性基金预算支出129.36万元，与上年相比，增加99.66万元，增长335.56%，主要原因是：本年度政府性基金安排的预算支出增加。其中：2020年巴尔鲁克山林场林区建设项目占用161团林地征补费、草地征补费（裕党财办［2021］24号）91.36万元；2021年支付以前年度工程款（裕财字［2021］001号）38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政府性基金预算财政拨款支出129.36万元。按功能分类科目项级科目公开，其中：</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2120801 征地和拆迁补偿支出91.36万元;</w:t>
      </w:r>
      <w:r>
        <w:rPr>
          <w:rFonts w:hint="eastAsia" w:ascii="仿宋_GB2312" w:eastAsia="仿宋_GB2312"/>
          <w:color w:val="auto"/>
          <w:spacing w:val="0"/>
          <w:sz w:val="32"/>
          <w:szCs w:val="32"/>
          <w:highlight w:val="none"/>
          <w:lang w:val="en-US" w:eastAsia="zh-CN"/>
        </w:rPr>
        <w:br w:type="textWrapping"/>
      </w:r>
      <w:r>
        <w:rPr>
          <w:rFonts w:hint="eastAsia" w:ascii="仿宋_GB2312" w:eastAsia="仿宋_GB2312"/>
          <w:color w:val="auto"/>
          <w:spacing w:val="0"/>
          <w:sz w:val="32"/>
          <w:szCs w:val="32"/>
          <w:highlight w:val="none"/>
          <w:lang w:val="en-US" w:eastAsia="zh-CN"/>
        </w:rPr>
        <w:t>2120804 农村基础设施建设支出38.00万元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2021年度新疆塔城地区裕民县交通运输局（行政单位和参照公务员法管理事业单位）机关运行经费支出72.34万元，比上年减少27.38万元，降低27.46%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本年度对企业补助较上年减少30万元</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2021年度政府采购支出总额1.90万元，其中：政府采购货物支出0.90万元、政府采购工程支出0.00万元、政府采购服务支出1.00万元。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授予中小企业合同金额1.90万元，占政府采购支出总额的100%，其中：授予小微企业合同金额1.90万元，占政府采购支出总额的100.00%。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395.68（平方米），价值75.01万元。车辆1辆，价值5.60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用于一般公务，项目实地查看</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600.64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对预算绩效管理工作认识不到位，理解有偏颇,专业人员能力有待提高。实行预算绩效管理以来，重视程度越来越高，工作力度也越来越大，单位领导和财务人员认为实施绩效管理增加工作量，所以能应付过关就行。而且预算绩效管理工作时间紧、任务重专业较强，要求具备一定专业素养和实际经验的人员，现在我单位从事绩效管理工作的人员就会计一人，日常业务量较大、工作繁忙，工作难度较大，学习机会还较少只能请教县财政局股室领导及其他单位同事。二是对预算绩效管理工作执行力不够，“刚性”作用不强。认为预算申报的项目能落实到位和预算安排的资金能用出去就不会有大的问题，重预算轻管理，工作人员存在不知道预算目标是什么，实际目标的过程中应该做什么、不该做什么，存在粗放型预算管理，从而达不到预期效果。三是预算绩效管理机制不完善，制度体系不健全。绩效指标和标准体系建设不完善，未能细化、量化绩效指标。一个健全完善的预算绩效管理制度框架体系，可以推动单位财政绩效管理高水平，高质量发展，避免单位在实施绩效管理工作时出现“知识盲区”</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MmY2ZjlhYTI3ZDJlOWJjOWEzOTA4MjQ4ZTUzNW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0B5363"/>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436356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6A38AD"/>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7C5456"/>
    <w:rsid w:val="48F9688C"/>
    <w:rsid w:val="490B0284"/>
    <w:rsid w:val="492D17D3"/>
    <w:rsid w:val="493A3870"/>
    <w:rsid w:val="4A1207ED"/>
    <w:rsid w:val="4A9D77CC"/>
    <w:rsid w:val="4AF5079B"/>
    <w:rsid w:val="4B345CA5"/>
    <w:rsid w:val="4B701753"/>
    <w:rsid w:val="4BEB2AE8"/>
    <w:rsid w:val="4C181618"/>
    <w:rsid w:val="4C6D3066"/>
    <w:rsid w:val="4CB3745D"/>
    <w:rsid w:val="4D391693"/>
    <w:rsid w:val="4D3D09A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3D460B"/>
    <w:rsid w:val="6B476C59"/>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26</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