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9A8C0">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ascii="Times New Roman" w:hAnsi="Times New Roman" w:eastAsia="方正小标宋简体" w:cs="方正小标宋简体"/>
          <w:bCs/>
          <w:color w:val="000000"/>
          <w:sz w:val="44"/>
          <w:szCs w:val="44"/>
        </w:rPr>
      </w:pPr>
      <w:bookmarkStart w:id="2" w:name="_GoBack"/>
      <w:r>
        <w:rPr>
          <w:rFonts w:hint="eastAsia" w:ascii="Times New Roman" w:hAnsi="Times New Roman" w:eastAsia="方正小标宋简体" w:cs="方正小标宋简体"/>
          <w:bCs/>
          <w:color w:val="000000"/>
          <w:sz w:val="44"/>
          <w:szCs w:val="44"/>
          <w:lang w:val="en-US" w:eastAsia="zh-CN"/>
        </w:rPr>
        <w:t>裕民县</w:t>
      </w:r>
      <w:r>
        <w:rPr>
          <w:rFonts w:hint="eastAsia" w:ascii="Times New Roman" w:hAnsi="Times New Roman" w:eastAsia="方正小标宋简体" w:cs="方正小标宋简体"/>
          <w:bCs/>
          <w:color w:val="000000"/>
          <w:sz w:val="44"/>
          <w:szCs w:val="44"/>
        </w:rPr>
        <w:t>市场监督管理局行政处罚决定书</w:t>
      </w:r>
    </w:p>
    <w:bookmarkEnd w:id="2"/>
    <w:p w14:paraId="52C403F0">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64</w:t>
      </w:r>
      <w:r>
        <w:rPr>
          <w:rFonts w:hint="eastAsia" w:ascii="Times New Roman" w:hAnsi="Times New Roman" w:eastAsia="仿宋_GB2312"/>
          <w:sz w:val="32"/>
          <w:szCs w:val="32"/>
          <w:u w:val="none"/>
        </w:rPr>
        <w:t>号</w:t>
      </w:r>
    </w:p>
    <w:p w14:paraId="734C77E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1.</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裕民县超时空网络</w:t>
      </w:r>
    </w:p>
    <w:p w14:paraId="560C699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3C8219C5">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91654225MA79JRNL34</w:t>
      </w:r>
    </w:p>
    <w:p w14:paraId="62FBE5C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kern w:val="1"/>
          <w:sz w:val="32"/>
          <w:szCs w:val="32"/>
          <w:u w:val="none"/>
          <w:lang w:eastAsia="zh-CN"/>
        </w:rPr>
        <w:t>新疆塔城地区</w:t>
      </w:r>
      <w:r>
        <w:rPr>
          <w:rFonts w:hint="eastAsia" w:ascii="仿宋_GB2312" w:hAnsi="仿宋_GB2312" w:eastAsia="仿宋_GB2312" w:cs="仿宋_GB2312"/>
          <w:bCs/>
          <w:color w:val="auto"/>
          <w:sz w:val="32"/>
          <w:szCs w:val="32"/>
          <w:u w:val="none"/>
          <w:lang w:val="en-US" w:eastAsia="zh-CN"/>
        </w:rPr>
        <w:t>裕民县友好路</w:t>
      </w:r>
    </w:p>
    <w:p w14:paraId="3EC4570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贾春霞</w:t>
      </w:r>
    </w:p>
    <w:p w14:paraId="4D40F7E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654225196309010021</w:t>
      </w:r>
    </w:p>
    <w:p w14:paraId="31AE5FA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2.</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裕民县察汗托海牧场爱民免烧砖厂</w:t>
      </w:r>
    </w:p>
    <w:p w14:paraId="589281E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698A65A9">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91654225L319818010</w:t>
      </w:r>
    </w:p>
    <w:p w14:paraId="1C902A9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新疆塔城地区裕民县塔斯特路</w:t>
      </w:r>
      <w:r>
        <w:rPr>
          <w:rFonts w:hint="eastAsia" w:ascii="仿宋_GB2312" w:hAnsi="仿宋_GB2312" w:eastAsia="仿宋_GB2312" w:cs="仿宋_GB2312"/>
          <w:color w:val="auto"/>
          <w:kern w:val="1"/>
          <w:sz w:val="32"/>
          <w:szCs w:val="32"/>
          <w:u w:val="none"/>
          <w:lang w:val="en-US" w:eastAsia="zh-CN"/>
        </w:rPr>
        <w:t xml:space="preserve"> </w:t>
      </w:r>
    </w:p>
    <w:p w14:paraId="6A73D63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李纪涛</w:t>
      </w:r>
    </w:p>
    <w:p w14:paraId="53A8214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color w:val="FF0000"/>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420625195405221516</w:t>
      </w:r>
    </w:p>
    <w:p w14:paraId="00E1474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3.</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裕民县凯源砖厂</w:t>
      </w:r>
    </w:p>
    <w:p w14:paraId="1BC03D8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5B32117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916542250688193114</w:t>
      </w:r>
    </w:p>
    <w:p w14:paraId="433F2AF9">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新疆塔城地区裕民县江格斯乡切格尔村</w:t>
      </w:r>
    </w:p>
    <w:p w14:paraId="7AE82290">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李永照</w:t>
      </w:r>
    </w:p>
    <w:p w14:paraId="292B18E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370783196001055178</w:t>
      </w:r>
    </w:p>
    <w:p w14:paraId="7E580D6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4.</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裕民县地源免烧砖厂</w:t>
      </w:r>
    </w:p>
    <w:p w14:paraId="55C6FA9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01FA1C49">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91654225MA79JNNR1D</w:t>
      </w:r>
    </w:p>
    <w:p w14:paraId="0A123D37">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裕民县巴什拜东路（雷达站院内）</w:t>
      </w:r>
    </w:p>
    <w:p w14:paraId="2C87252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夏淑辉</w:t>
      </w:r>
    </w:p>
    <w:p w14:paraId="7FEF10DD">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510227196201026687</w:t>
      </w:r>
    </w:p>
    <w:p w14:paraId="54D38C9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Times New Roman" w:hAnsi="Times New Roman" w:eastAsia="仿宋_GB2312" w:cs="Mongolian Baiti"/>
          <w:sz w:val="32"/>
          <w:szCs w:val="32"/>
          <w:u w:val="none"/>
          <w:lang w:val="en-US" w:eastAsia="zh-CN"/>
        </w:rPr>
      </w:pP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裕民县阿勒腾也木勒乡振兴砖厂</w:t>
      </w:r>
    </w:p>
    <w:p w14:paraId="022DC22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7F17C02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91654225MA79JR1B1D</w:t>
      </w:r>
    </w:p>
    <w:p w14:paraId="4EFDD08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新疆塔城地区裕民县阿勒腾也木勒乡白布谢村</w:t>
      </w:r>
    </w:p>
    <w:p w14:paraId="130993C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付中学</w:t>
      </w:r>
    </w:p>
    <w:p w14:paraId="201A1E3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410526196310200513</w:t>
      </w:r>
    </w:p>
    <w:p w14:paraId="28307A35">
      <w:pPr>
        <w:keepNext w:val="0"/>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我局在依法履职中发现，当事人涉嫌成立后无正当理由超过6个月未开业（开业后自行停业连续6个月）。2024年10月9日</w:t>
      </w:r>
      <w:r>
        <w:rPr>
          <w:rFonts w:hint="eastAsia" w:ascii="Times New Roman" w:hAnsi="Times New Roman" w:eastAsia="仿宋_GB2312" w:cs="仿宋_GB2312"/>
          <w:bCs/>
          <w:sz w:val="32"/>
          <w:szCs w:val="32"/>
          <w:highlight w:val="none"/>
          <w:u w:val="none"/>
        </w:rPr>
        <w:t>予以立案调查</w:t>
      </w:r>
      <w:r>
        <w:rPr>
          <w:rFonts w:hint="eastAsia" w:ascii="Times New Roman" w:hAnsi="Times New Roman" w:eastAsia="仿宋_GB2312" w:cs="仿宋_GB2312"/>
          <w:bCs/>
          <w:sz w:val="32"/>
          <w:szCs w:val="32"/>
          <w:highlight w:val="none"/>
          <w:u w:val="none"/>
          <w:lang w:eastAsia="zh-CN"/>
        </w:rPr>
        <w:t>，</w:t>
      </w:r>
      <w:r>
        <w:rPr>
          <w:rFonts w:hint="eastAsia" w:ascii="Times New Roman" w:hAnsi="Times New Roman" w:eastAsia="仿宋_GB2312" w:cs="仿宋_GB2312"/>
          <w:sz w:val="32"/>
          <w:szCs w:val="32"/>
          <w:highlight w:val="none"/>
          <w:lang w:val="en-US" w:eastAsia="zh-CN"/>
        </w:rPr>
        <w:t>依法对当事人在“国家企业信用信息公示系统（新疆）”报送年度报告及公示情况、在税务机关的营业纳税申报情况进行了调查，并依法对当事人进行了询问调查，要求当事人提供不存在成立后无正当理由超过6个月未开业（</w:t>
      </w:r>
      <w:r>
        <w:rPr>
          <w:rFonts w:hint="eastAsia" w:ascii="仿宋_GB2312" w:hAnsi="仿宋_GB2312" w:eastAsia="仿宋_GB2312" w:cs="仿宋_GB2312"/>
          <w:sz w:val="32"/>
          <w:szCs w:val="32"/>
          <w:lang w:val="en-US" w:eastAsia="zh-CN"/>
        </w:rPr>
        <w:t>开业后自行停业连续6个月</w:t>
      </w:r>
      <w:r>
        <w:rPr>
          <w:rFonts w:hint="eastAsia" w:ascii="Times New Roman" w:hAnsi="Times New Roman" w:eastAsia="仿宋_GB2312" w:cs="仿宋_GB2312"/>
          <w:sz w:val="32"/>
          <w:szCs w:val="32"/>
          <w:highlight w:val="none"/>
          <w:lang w:val="en-US" w:eastAsia="zh-CN"/>
        </w:rPr>
        <w:t>）的相关证据。</w:t>
      </w:r>
    </w:p>
    <w:p w14:paraId="6E457DF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经查，当事人自成立后，2022年、2023年度未在“国家企业信用信息公示系统（新疆）”报送并公示年度报告，超过6个月未向税务机关进行营业纳税申报。我局依照法定程序要求当事人提供不存在成立后无正当理由超过6个月未开业（</w:t>
      </w:r>
      <w:r>
        <w:rPr>
          <w:rFonts w:hint="eastAsia" w:ascii="仿宋_GB2312" w:hAnsi="仿宋_GB2312" w:eastAsia="仿宋_GB2312" w:cs="仿宋_GB2312"/>
          <w:sz w:val="32"/>
          <w:szCs w:val="32"/>
          <w:lang w:val="en-US" w:eastAsia="zh-CN"/>
        </w:rPr>
        <w:t>开业后自行停业连续6个月</w:t>
      </w:r>
      <w:r>
        <w:rPr>
          <w:rFonts w:hint="eastAsia" w:ascii="Times New Roman" w:hAnsi="Times New Roman" w:eastAsia="仿宋_GB2312" w:cs="仿宋_GB2312"/>
          <w:sz w:val="32"/>
          <w:szCs w:val="32"/>
          <w:highlight w:val="none"/>
          <w:lang w:val="en-US" w:eastAsia="zh-CN"/>
        </w:rPr>
        <w:t>）的相关证据，当事人没有提供。</w:t>
      </w:r>
    </w:p>
    <w:p w14:paraId="31D85EDF">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上述事实，主要有以下证据证明：</w:t>
      </w:r>
    </w:p>
    <w:p w14:paraId="3B53D12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1、当事人的登记注册信息、证明当事人的成立情况</w:t>
      </w:r>
      <w:bookmarkStart w:id="0" w:name="_Hlk10194399"/>
      <w:r>
        <w:rPr>
          <w:rFonts w:hint="eastAsia" w:ascii="Times New Roman" w:hAnsi="Times New Roman" w:eastAsia="仿宋_GB2312" w:cs="仿宋_GB2312"/>
          <w:sz w:val="32"/>
          <w:szCs w:val="32"/>
          <w:highlight w:val="none"/>
          <w:u w:val="none"/>
          <w:lang w:val="en-US" w:eastAsia="zh-CN"/>
        </w:rPr>
        <w:t>；</w:t>
      </w:r>
    </w:p>
    <w:p w14:paraId="395EB526">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w:t>
      </w:r>
      <w:bookmarkEnd w:id="0"/>
      <w:r>
        <w:rPr>
          <w:rFonts w:hint="eastAsia" w:ascii="Times New Roman" w:hAnsi="Times New Roman" w:eastAsia="仿宋_GB2312" w:cs="仿宋_GB2312"/>
          <w:sz w:val="32"/>
          <w:szCs w:val="32"/>
          <w:highlight w:val="none"/>
          <w:u w:val="none"/>
          <w:lang w:val="en-US" w:eastAsia="zh-CN"/>
        </w:rPr>
        <w:t>当事人在“</w:t>
      </w:r>
      <w:r>
        <w:rPr>
          <w:rFonts w:hint="eastAsia" w:ascii="Times New Roman" w:hAnsi="Times New Roman" w:eastAsia="仿宋_GB2312" w:cs="仿宋_GB2312"/>
          <w:sz w:val="32"/>
          <w:szCs w:val="32"/>
          <w:highlight w:val="none"/>
          <w:lang w:val="en-US" w:eastAsia="zh-CN"/>
        </w:rPr>
        <w:t>国家企业信用信息公示系统（新疆）”的年度报告公示信息，证明当事人的年度报告公示情况</w:t>
      </w:r>
      <w:bookmarkStart w:id="1" w:name="_Hlk17819232"/>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u w:val="none"/>
          <w:lang w:val="en-US" w:eastAsia="zh-CN"/>
        </w:rPr>
        <w:t xml:space="preserve">                   </w:t>
      </w:r>
    </w:p>
    <w:bookmarkEnd w:id="1"/>
    <w:p w14:paraId="146A18AB">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 xml:space="preserve">3、当事人在税务机关的营业纳税申报信息，证明当事人的营业纳税申报情况； </w:t>
      </w:r>
    </w:p>
    <w:p w14:paraId="3A0EC68F">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4、询问通知书、询问通知公告，证明我局依法对当事人进行询问调查；</w:t>
      </w:r>
    </w:p>
    <w:p w14:paraId="5863459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bCs/>
          <w:sz w:val="32"/>
          <w:szCs w:val="32"/>
          <w:highlight w:val="none"/>
          <w:u w:val="none"/>
        </w:rPr>
      </w:pPr>
      <w:r>
        <w:rPr>
          <w:rFonts w:hint="eastAsia" w:ascii="Times New Roman" w:hAnsi="Times New Roman" w:eastAsia="仿宋_GB2312" w:cs="仿宋_GB2312"/>
          <w:sz w:val="32"/>
          <w:szCs w:val="32"/>
          <w:highlight w:val="none"/>
          <w:u w:val="none"/>
          <w:lang w:val="en-US" w:eastAsia="zh-CN"/>
        </w:rPr>
        <w:t>5、现场笔录、照片。</w:t>
      </w:r>
    </w:p>
    <w:p w14:paraId="11CDAE2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2024年11月11日，我局依法向当事人公告送达了《行政处罚告知书》（塔裕市监罚告〔2024〕64号），当事人在法定期限内未提出陈述、申辩意见，也未要求举行听证。</w:t>
      </w:r>
    </w:p>
    <w:p w14:paraId="42BD493A">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根据《市场监督管理行政处罚程序规定》第八十二条，你单位下落不明，采取直接、邮寄等方式均无法送达，因此所有法律文书均采用公告送达方式。</w:t>
      </w:r>
    </w:p>
    <w:p w14:paraId="7849619A">
      <w:pPr>
        <w:pStyle w:val="2"/>
        <w:keepNext w:val="0"/>
        <w:keepLines w:val="0"/>
        <w:pageBreakBefore w:val="0"/>
        <w:widowControl w:val="0"/>
        <w:kinsoku/>
        <w:wordWrap/>
        <w:overflowPunct/>
        <w:topLinePunct w:val="0"/>
        <w:bidi w:val="0"/>
        <w:adjustRightInd/>
        <w:snapToGrid/>
        <w:spacing w:after="0" w:line="540" w:lineRule="exact"/>
        <w:ind w:leftChars="0"/>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cs="Mongolian Baiti"/>
          <w:sz w:val="32"/>
          <w:szCs w:val="32"/>
          <w:u w:val="none"/>
          <w:lang w:val="en-US" w:eastAsia="zh-CN"/>
        </w:rPr>
        <w:t>根据《中华人民共和国个人独资企业法》第三十六条“个人独资企业成立后无正当理由超过6个月未开业的，或者开业后自行停业连续6个月以上的，吊销营业执照。”的规定</w:t>
      </w:r>
      <w:r>
        <w:rPr>
          <w:rFonts w:hint="eastAsia" w:eastAsia="仿宋_GB2312" w:cs="Mongolian Baiti"/>
          <w:sz w:val="32"/>
          <w:szCs w:val="32"/>
          <w:u w:val="none"/>
          <w:lang w:val="en-US" w:eastAsia="zh-CN"/>
        </w:rPr>
        <w:t>，我局决定：吊销当事人的营业执照。</w:t>
      </w:r>
    </w:p>
    <w:p w14:paraId="1100C1FD">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w:t>
      </w:r>
      <w:r>
        <w:rPr>
          <w:rFonts w:hint="eastAsia" w:ascii="Times New Roman" w:hAnsi="Times New Roman" w:eastAsia="仿宋_GB2312" w:cs="Mongolian Baiti"/>
          <w:sz w:val="32"/>
          <w:szCs w:val="32"/>
          <w:u w:val="none"/>
          <w:lang w:val="en-US" w:eastAsia="zh-CN"/>
        </w:rPr>
        <w:t>裕民县超时空网络等5户个人独资企业</w:t>
      </w:r>
      <w:r>
        <w:rPr>
          <w:rFonts w:hint="eastAsia" w:ascii="仿宋_GB2312" w:hAnsi="仿宋_GB2312" w:eastAsia="仿宋_GB2312" w:cs="仿宋_GB2312"/>
          <w:color w:val="000000"/>
          <w:sz w:val="32"/>
          <w:szCs w:val="32"/>
          <w:u w:val="none"/>
          <w:lang w:val="en-US" w:eastAsia="zh-CN"/>
        </w:rPr>
        <w:t>）不服本行政处罚决定，可以在收到本行政处罚决定书之日起六十日内向裕民县人民政府申请行政复议，也可以于六个月内依法向裕民县人民法院提起行政诉讼。申请行政复议或提起行政诉讼期间，行政处罚不停止执行。</w:t>
      </w:r>
    </w:p>
    <w:p w14:paraId="4532C3B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both"/>
        <w:textAlignment w:val="auto"/>
        <w:rPr>
          <w:rFonts w:hint="eastAsia" w:ascii="仿宋_GB2312" w:hAnsi="仿宋_GB2312" w:eastAsia="仿宋_GB2312" w:cs="仿宋_GB2312"/>
          <w:color w:val="000000"/>
          <w:sz w:val="32"/>
          <w:szCs w:val="32"/>
        </w:rPr>
      </w:pPr>
    </w:p>
    <w:p w14:paraId="1CA08F11">
      <w:pPr>
        <w:rPr>
          <w:rFonts w:hint="eastAsia"/>
        </w:rPr>
      </w:pPr>
    </w:p>
    <w:p w14:paraId="5B07E35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裕民县</w:t>
      </w:r>
      <w:r>
        <w:rPr>
          <w:rFonts w:hint="eastAsia" w:ascii="仿宋_GB2312" w:hAnsi="仿宋_GB2312" w:eastAsia="仿宋_GB2312" w:cs="仿宋_GB2312"/>
          <w:color w:val="000000"/>
          <w:sz w:val="32"/>
          <w:szCs w:val="32"/>
        </w:rPr>
        <w:t>市场监督管理局</w:t>
      </w:r>
    </w:p>
    <w:p w14:paraId="731D280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14:paraId="533D5C7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auto"/>
          <w:sz w:val="32"/>
          <w:szCs w:val="32"/>
          <w:lang w:val="en-US" w:eastAsia="zh-CN"/>
        </w:rPr>
        <w:t>二〇二四年十二月十二日</w:t>
      </w:r>
    </w:p>
    <w:p w14:paraId="7ADCCC62">
      <w:pPr>
        <w:keepNext w:val="0"/>
        <w:keepLines w:val="0"/>
        <w:pageBreakBefore w:val="0"/>
        <w:widowControl w:val="0"/>
        <w:kinsoku/>
        <w:wordWrap w:val="0"/>
        <w:overflowPunct/>
        <w:topLinePunct w:val="0"/>
        <w:autoSpaceDE w:val="0"/>
        <w:autoSpaceDN w:val="0"/>
        <w:bidi w:val="0"/>
        <w:adjustRightInd/>
        <w:snapToGrid w:val="0"/>
        <w:spacing w:line="540" w:lineRule="exact"/>
        <w:ind w:left="0" w:leftChars="0" w:right="0" w:firstLine="0" w:firstLineChars="0"/>
        <w:textAlignment w:val="auto"/>
        <w:rPr>
          <w:rFonts w:ascii="Times New Roman" w:hAnsi="Times New Roman" w:eastAsia="仿宋_GB2312"/>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0D15FF11">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ascii="Times New Roman" w:hAnsi="Times New Roman" w:eastAsia="仿宋_GB2312" w:cs="仿宋_GB2312"/>
          <w:bCs/>
          <w:color w:val="000000"/>
          <w:sz w:val="32"/>
          <w:szCs w:val="32"/>
        </w:rPr>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p>
    <w:p w14:paraId="2A45AB45">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pP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_GB2312"/>
          <w:color w:val="000000"/>
          <w:sz w:val="32"/>
          <w:szCs w:val="32"/>
          <w:u w:val="none"/>
        </w:rPr>
        <w:t>本文书一式</w:t>
      </w:r>
      <w:r>
        <w:rPr>
          <w:rFonts w:hint="eastAsia" w:ascii="Times New Roman" w:hAnsi="Times New Roman" w:eastAsia="仿宋_GB2312" w:cs="仿宋_GB2312"/>
          <w:color w:val="000000"/>
          <w:sz w:val="32"/>
          <w:szCs w:val="32"/>
          <w:u w:val="none"/>
          <w:lang w:val="en-US" w:eastAsia="zh-CN"/>
        </w:rPr>
        <w:t>二</w:t>
      </w:r>
      <w:r>
        <w:rPr>
          <w:rFonts w:hint="eastAsia" w:ascii="Times New Roman" w:hAnsi="Times New Roman" w:eastAsia="仿宋_GB2312" w:cs="仿宋_GB2312"/>
          <w:color w:val="000000"/>
          <w:sz w:val="32"/>
          <w:szCs w:val="32"/>
          <w:u w:val="none"/>
        </w:rPr>
        <w:t>份，</w:t>
      </w:r>
      <w:r>
        <w:rPr>
          <w:rFonts w:hint="eastAsia" w:ascii="Times New Roman" w:hAnsi="Times New Roman" w:eastAsia="仿宋_GB2312" w:cs="仿宋_GB2312"/>
          <w:color w:val="000000"/>
          <w:sz w:val="32"/>
          <w:szCs w:val="32"/>
          <w:u w:val="none"/>
          <w:lang w:val="en-US" w:eastAsia="zh-CN"/>
        </w:rPr>
        <w:t>一</w:t>
      </w:r>
      <w:r>
        <w:rPr>
          <w:rFonts w:hint="eastAsia" w:ascii="Times New Roman" w:hAnsi="Times New Roman" w:eastAsia="仿宋_GB2312" w:cs="仿宋_GB2312"/>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12018"/>
    <w:multiLevelType w:val="singleLevel"/>
    <w:tmpl w:val="9DF1201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62"/>
    <w:rsid w:val="004E1F8E"/>
    <w:rsid w:val="00CB7CC2"/>
    <w:rsid w:val="00D65562"/>
    <w:rsid w:val="028C560D"/>
    <w:rsid w:val="02AD6E47"/>
    <w:rsid w:val="0354597C"/>
    <w:rsid w:val="0384584D"/>
    <w:rsid w:val="04034DD8"/>
    <w:rsid w:val="04AB4122"/>
    <w:rsid w:val="076B64AF"/>
    <w:rsid w:val="07BB1C98"/>
    <w:rsid w:val="08220B4E"/>
    <w:rsid w:val="0870569D"/>
    <w:rsid w:val="0A154547"/>
    <w:rsid w:val="0A8171C0"/>
    <w:rsid w:val="0AA43771"/>
    <w:rsid w:val="0BEF0C3C"/>
    <w:rsid w:val="0C65557F"/>
    <w:rsid w:val="0C745703"/>
    <w:rsid w:val="0CE5665D"/>
    <w:rsid w:val="0CF96761"/>
    <w:rsid w:val="0D641731"/>
    <w:rsid w:val="11926134"/>
    <w:rsid w:val="12655C53"/>
    <w:rsid w:val="146B7F29"/>
    <w:rsid w:val="175676D1"/>
    <w:rsid w:val="17FF485B"/>
    <w:rsid w:val="18CF36B3"/>
    <w:rsid w:val="19D728E7"/>
    <w:rsid w:val="1A1420C2"/>
    <w:rsid w:val="1A1478F4"/>
    <w:rsid w:val="1A4F03E7"/>
    <w:rsid w:val="1A90224F"/>
    <w:rsid w:val="1AA73541"/>
    <w:rsid w:val="1ABC46C3"/>
    <w:rsid w:val="1B8501C0"/>
    <w:rsid w:val="1BDA6FBC"/>
    <w:rsid w:val="1E225489"/>
    <w:rsid w:val="1EB93197"/>
    <w:rsid w:val="1F094A32"/>
    <w:rsid w:val="1F15491D"/>
    <w:rsid w:val="1F1B7EB3"/>
    <w:rsid w:val="20266901"/>
    <w:rsid w:val="22735FCC"/>
    <w:rsid w:val="236B7425"/>
    <w:rsid w:val="2495761A"/>
    <w:rsid w:val="25BF2D09"/>
    <w:rsid w:val="26D65897"/>
    <w:rsid w:val="270152C1"/>
    <w:rsid w:val="27B051D4"/>
    <w:rsid w:val="285C3714"/>
    <w:rsid w:val="296D044A"/>
    <w:rsid w:val="2A472A30"/>
    <w:rsid w:val="2B4B7C3C"/>
    <w:rsid w:val="2BCC7B1F"/>
    <w:rsid w:val="2C613CA6"/>
    <w:rsid w:val="2C947DEA"/>
    <w:rsid w:val="2C9B3A43"/>
    <w:rsid w:val="2D5250C4"/>
    <w:rsid w:val="2E0A4A5C"/>
    <w:rsid w:val="2E345A35"/>
    <w:rsid w:val="2F5A20F7"/>
    <w:rsid w:val="2FC30101"/>
    <w:rsid w:val="32127FE5"/>
    <w:rsid w:val="33792369"/>
    <w:rsid w:val="36521307"/>
    <w:rsid w:val="37470222"/>
    <w:rsid w:val="38DD39EA"/>
    <w:rsid w:val="39402657"/>
    <w:rsid w:val="39B245D2"/>
    <w:rsid w:val="3BEC7F79"/>
    <w:rsid w:val="3C250A25"/>
    <w:rsid w:val="3C9A5943"/>
    <w:rsid w:val="3CBE434B"/>
    <w:rsid w:val="3CC130E3"/>
    <w:rsid w:val="3F1333CA"/>
    <w:rsid w:val="40D56A87"/>
    <w:rsid w:val="40DC580E"/>
    <w:rsid w:val="43097140"/>
    <w:rsid w:val="43B51529"/>
    <w:rsid w:val="43C00847"/>
    <w:rsid w:val="43CD655D"/>
    <w:rsid w:val="44936DF2"/>
    <w:rsid w:val="44D268F4"/>
    <w:rsid w:val="44E36F84"/>
    <w:rsid w:val="46034DBC"/>
    <w:rsid w:val="47ED35F3"/>
    <w:rsid w:val="48FC1851"/>
    <w:rsid w:val="494D0249"/>
    <w:rsid w:val="4BA5432B"/>
    <w:rsid w:val="4C417457"/>
    <w:rsid w:val="4C903CBA"/>
    <w:rsid w:val="4DF03313"/>
    <w:rsid w:val="4EC10248"/>
    <w:rsid w:val="4F0F3081"/>
    <w:rsid w:val="4FCD3A52"/>
    <w:rsid w:val="521826C4"/>
    <w:rsid w:val="5379177E"/>
    <w:rsid w:val="55D0727E"/>
    <w:rsid w:val="56020A93"/>
    <w:rsid w:val="56C76CF9"/>
    <w:rsid w:val="595C3727"/>
    <w:rsid w:val="5A6E6C92"/>
    <w:rsid w:val="5AFC0430"/>
    <w:rsid w:val="5C406FF2"/>
    <w:rsid w:val="5C4F2D8F"/>
    <w:rsid w:val="5C6504B9"/>
    <w:rsid w:val="5E0572F2"/>
    <w:rsid w:val="5E892182"/>
    <w:rsid w:val="5EAD1766"/>
    <w:rsid w:val="5F3130A6"/>
    <w:rsid w:val="5F4D2C72"/>
    <w:rsid w:val="5F7D167F"/>
    <w:rsid w:val="5FEC3DC3"/>
    <w:rsid w:val="606E340C"/>
    <w:rsid w:val="61370511"/>
    <w:rsid w:val="62FF2941"/>
    <w:rsid w:val="634819CE"/>
    <w:rsid w:val="63633D22"/>
    <w:rsid w:val="655943A4"/>
    <w:rsid w:val="66035C5F"/>
    <w:rsid w:val="66B775B5"/>
    <w:rsid w:val="67BF2729"/>
    <w:rsid w:val="68061584"/>
    <w:rsid w:val="681C627F"/>
    <w:rsid w:val="683C745E"/>
    <w:rsid w:val="686031E2"/>
    <w:rsid w:val="68C908FD"/>
    <w:rsid w:val="6BAB4379"/>
    <w:rsid w:val="6CBE2E6A"/>
    <w:rsid w:val="6CDB705F"/>
    <w:rsid w:val="6D9C248F"/>
    <w:rsid w:val="6E266B85"/>
    <w:rsid w:val="716015BD"/>
    <w:rsid w:val="71A932BB"/>
    <w:rsid w:val="71B30F9D"/>
    <w:rsid w:val="7289533C"/>
    <w:rsid w:val="73E82DB6"/>
    <w:rsid w:val="74325002"/>
    <w:rsid w:val="7481772E"/>
    <w:rsid w:val="75EF3729"/>
    <w:rsid w:val="76D41DD3"/>
    <w:rsid w:val="774715A7"/>
    <w:rsid w:val="77597D1B"/>
    <w:rsid w:val="78021A5F"/>
    <w:rsid w:val="787552F9"/>
    <w:rsid w:val="7A8B6788"/>
    <w:rsid w:val="7B2130EF"/>
    <w:rsid w:val="7C422F87"/>
    <w:rsid w:val="7CEB1E62"/>
    <w:rsid w:val="7CED1F2E"/>
    <w:rsid w:val="7D087D10"/>
    <w:rsid w:val="7D702A7D"/>
    <w:rsid w:val="7DFD1018"/>
    <w:rsid w:val="7E4C50D1"/>
    <w:rsid w:val="7EA16E86"/>
    <w:rsid w:val="7F01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8"/>
    <w:qFormat/>
    <w:uiPriority w:val="1"/>
    <w:pPr>
      <w:spacing w:line="784" w:lineRule="exact"/>
      <w:ind w:right="300"/>
      <w:jc w:val="center"/>
      <w:outlineLvl w:val="0"/>
    </w:pPr>
    <w:rPr>
      <w:rFonts w:ascii="微软雅黑" w:hAnsi="微软雅黑" w:eastAsia="微软雅黑" w:cs="微软雅黑"/>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9"/>
    <w:qFormat/>
    <w:uiPriority w:val="1"/>
    <w:pPr>
      <w:ind w:left="120" w:firstLine="640"/>
    </w:pPr>
    <w:rPr>
      <w:sz w:val="32"/>
      <w:szCs w:val="32"/>
    </w:rPr>
  </w:style>
  <w:style w:type="character" w:customStyle="1" w:styleId="8">
    <w:name w:val="标题 1 Char"/>
    <w:basedOn w:val="7"/>
    <w:link w:val="4"/>
    <w:qFormat/>
    <w:uiPriority w:val="1"/>
    <w:rPr>
      <w:rFonts w:ascii="微软雅黑" w:hAnsi="微软雅黑" w:eastAsia="微软雅黑" w:cs="微软雅黑"/>
      <w:kern w:val="0"/>
      <w:sz w:val="44"/>
      <w:szCs w:val="44"/>
      <w:lang w:val="zh-CN" w:bidi="zh-CN"/>
    </w:rPr>
  </w:style>
  <w:style w:type="character" w:customStyle="1" w:styleId="9">
    <w:name w:val="正文文本 Char"/>
    <w:basedOn w:val="7"/>
    <w:link w:val="5"/>
    <w:qFormat/>
    <w:uiPriority w:val="1"/>
    <w:rPr>
      <w:rFonts w:ascii="仿宋" w:hAnsi="仿宋" w:eastAsia="仿宋" w:cs="仿宋"/>
      <w:kern w:val="0"/>
      <w:sz w:val="32"/>
      <w:szCs w:val="32"/>
      <w:lang w:val="zh-CN" w:bidi="zh-CN"/>
    </w:rPr>
  </w:style>
  <w:style w:type="paragraph" w:styleId="10">
    <w:name w:val="List Paragraph"/>
    <w:basedOn w:val="1"/>
    <w:qFormat/>
    <w:uiPriority w:val="1"/>
    <w:pPr>
      <w:ind w:left="120"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1402</Words>
  <Characters>1599</Characters>
  <Lines>27</Lines>
  <Paragraphs>7</Paragraphs>
  <TotalTime>26</TotalTime>
  <ScaleCrop>false</ScaleCrop>
  <LinksUpToDate>false</LinksUpToDate>
  <CharactersWithSpaces>1676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2019-05-05T10:15:00Z</dcterms:created>
  <dc:creator>xb21cn</dc:creator>
  <cp:lastModifiedBy>sinner</cp:lastModifiedBy>
  <cp:lastPrinted>2024-12-12T02:47:00Z</cp:lastPrinted>
  <dcterms:modified xsi:type="dcterms:W3CDTF">2024-12-13T10:56:04Z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6BEE9C9173414FF88BE1F33CC5460306</vt:lpwstr>
  </property>
</Properties>
</file>