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黑体" w:hAnsi="黑体" w:eastAsia="黑体"/>
          <w:sz w:val="32"/>
          <w:szCs w:val="32"/>
        </w:rPr>
      </w:pPr>
    </w:p>
    <w:p>
      <w:pPr>
        <w:spacing w:line="240" w:lineRule="auto"/>
        <w:jc w:val="center"/>
        <w:rPr>
          <w:rFonts w:hint="eastAsia" w:ascii="方正小标宋_GBK" w:hAnsi="宋体" w:eastAsia="方正小标宋_GBK"/>
          <w:sz w:val="44"/>
          <w:szCs w:val="44"/>
        </w:rPr>
      </w:pPr>
    </w:p>
    <w:p>
      <w:pPr>
        <w:spacing w:line="240" w:lineRule="auto"/>
        <w:jc w:val="center"/>
        <w:rPr>
          <w:rFonts w:hint="eastAsia" w:ascii="方正小标宋_GBK" w:hAnsi="宋体" w:eastAsia="方正小标宋_GBK"/>
          <w:sz w:val="44"/>
          <w:szCs w:val="44"/>
        </w:rPr>
      </w:pPr>
      <w:r>
        <w:rPr>
          <w:rFonts w:hint="eastAsia" w:ascii="方正小标宋_GBK" w:hAnsi="宋体" w:eastAsia="方正小标宋_GBK"/>
          <w:sz w:val="44"/>
          <w:szCs w:val="44"/>
        </w:rPr>
        <w:t>裕民县文化体育广播电视和旅游局</w:t>
      </w:r>
    </w:p>
    <w:p>
      <w:pPr>
        <w:spacing w:line="240" w:lineRule="auto"/>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pPr>
        <w:spacing w:line="240" w:lineRule="auto"/>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spacing w:line="240" w:lineRule="auto"/>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7"/>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4"/>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4"/>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4"/>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7"/>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7"/>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spacing w:line="240" w:lineRule="auto"/>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pPr>
        <w:spacing w:line="240" w:lineRule="auto"/>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tabs>
          <w:tab w:val="left" w:pos="6660"/>
        </w:tabs>
        <w:ind w:firstLine="640" w:firstLineChars="200"/>
        <w:rPr>
          <w:rFonts w:hint="eastAsia" w:ascii="仿宋_GB2312" w:hAnsi="仿宋_GB2312" w:eastAsia="仿宋_GB2312" w:cs="仿宋_GB2312"/>
          <w:bCs/>
          <w:sz w:val="32"/>
          <w:szCs w:val="32"/>
        </w:rPr>
      </w:pPr>
      <w:bookmarkStart w:id="4" w:name="_Toc31238"/>
      <w:bookmarkStart w:id="5" w:name="_Toc2151"/>
      <w:r>
        <w:rPr>
          <w:rFonts w:hint="eastAsia" w:ascii="仿宋" w:hAnsi="仿宋" w:eastAsia="仿宋" w:cs="仿宋"/>
          <w:bCs/>
          <w:sz w:val="32"/>
          <w:szCs w:val="32"/>
        </w:rPr>
        <w:t>（一）加强党对文化体育广播电视和旅游工作的领导。贯彻落实党</w:t>
      </w:r>
      <w:r>
        <w:rPr>
          <w:rFonts w:hint="eastAsia" w:ascii="仿宋_GB2312" w:hAnsi="仿宋_GB2312" w:eastAsia="仿宋_GB2312" w:cs="仿宋_GB2312"/>
          <w:bCs/>
          <w:sz w:val="32"/>
          <w:szCs w:val="32"/>
        </w:rPr>
        <w:t>和国家文化体育广播电视和旅游工作的方针政策，拟订文化体育广播电视和旅游政策措施，发展中国特色社会主义文化，实施全民健身纲要、旅游兴疆战略，牢牢掌握意识形态工作的领导权和主动权。</w:t>
      </w:r>
    </w:p>
    <w:p>
      <w:pPr>
        <w:tabs>
          <w:tab w:val="left" w:pos="6660"/>
        </w:tabs>
        <w:ind w:firstLine="640" w:firstLineChars="200"/>
        <w:rPr>
          <w:rFonts w:hint="eastAsia" w:ascii="仿宋" w:hAnsi="仿宋" w:eastAsia="仿宋" w:cs="仿宋"/>
          <w:sz w:val="32"/>
          <w:szCs w:val="32"/>
        </w:rPr>
      </w:pPr>
      <w:r>
        <w:rPr>
          <w:rFonts w:hint="eastAsia" w:ascii="仿宋_GB2312" w:hAnsi="仿宋_GB2312" w:eastAsia="仿宋_GB2312" w:cs="仿宋_GB2312"/>
          <w:bCs/>
          <w:sz w:val="32"/>
          <w:szCs w:val="32"/>
        </w:rPr>
        <w:t>（二）管理重大文化体育和旅游活动，指导重点文化体育和旅游设施建设，组织文化和旅游整体形象推广，构建全媒体时代的宣传营销平台和机制。促进文化和旅游产业对外合作和市场推广，拟订旅游市场开发战略并组织实施。统筹文化和旅游景区管理，指导、推进全</w:t>
      </w:r>
      <w:r>
        <w:rPr>
          <w:rFonts w:hint="eastAsia" w:ascii="仿宋_GB2312" w:hAnsi="仿宋_GB2312" w:eastAsia="仿宋_GB2312" w:cs="仿宋_GB2312"/>
          <w:sz w:val="32"/>
          <w:szCs w:val="32"/>
        </w:rPr>
        <w:t>域旅游</w:t>
      </w:r>
      <w:r>
        <w:rPr>
          <w:rFonts w:hint="eastAsia" w:ascii="仿宋" w:hAnsi="仿宋" w:eastAsia="仿宋" w:cs="仿宋"/>
          <w:sz w:val="32"/>
          <w:szCs w:val="32"/>
        </w:rPr>
        <w:t>。</w:t>
      </w:r>
    </w:p>
    <w:p>
      <w:pPr>
        <w:tabs>
          <w:tab w:val="left" w:pos="6660"/>
        </w:tabs>
        <w:ind w:firstLine="640" w:firstLineChars="200"/>
        <w:rPr>
          <w:rFonts w:hint="eastAsia" w:ascii="仿宋" w:hAnsi="仿宋" w:eastAsia="仿宋" w:cs="仿宋"/>
          <w:bCs/>
          <w:sz w:val="32"/>
          <w:szCs w:val="32"/>
        </w:rPr>
      </w:pPr>
      <w:r>
        <w:rPr>
          <w:rFonts w:hint="eastAsia" w:ascii="仿宋" w:hAnsi="仿宋" w:eastAsia="仿宋" w:cs="仿宋"/>
          <w:bCs/>
          <w:sz w:val="32"/>
          <w:szCs w:val="32"/>
        </w:rPr>
        <w:t>（三）指导、管理文艺事业，指导艺术创作生产及艺术研究评论，扶持坚守中华文化立场、体现社会主义核心价值观、具有导向性代表性示范性的文艺作品，推动各门类艺术、各艺术品种发展。</w:t>
      </w:r>
    </w:p>
    <w:p>
      <w:pPr>
        <w:tabs>
          <w:tab w:val="left" w:pos="6660"/>
        </w:tabs>
        <w:ind w:firstLine="640" w:firstLineChars="200"/>
        <w:rPr>
          <w:rFonts w:hint="eastAsia" w:ascii="仿宋" w:hAnsi="仿宋" w:eastAsia="仿宋" w:cs="仿宋"/>
          <w:bCs/>
          <w:sz w:val="32"/>
          <w:szCs w:val="32"/>
        </w:rPr>
      </w:pPr>
      <w:r>
        <w:rPr>
          <w:rFonts w:hint="eastAsia" w:ascii="仿宋" w:hAnsi="仿宋" w:eastAsia="仿宋" w:cs="仿宋"/>
          <w:bCs/>
          <w:sz w:val="32"/>
          <w:szCs w:val="32"/>
        </w:rPr>
        <w:t>（四）负责公共文化体育旅游事业发展，推进体育惠民、公共文化服务体系建设和旅游公共服务建设，深入实施文化体育惠民工程，统筹推进基本公共文化服务标准化、均等化。</w:t>
      </w:r>
    </w:p>
    <w:p>
      <w:pPr>
        <w:tabs>
          <w:tab w:val="left" w:pos="6660"/>
        </w:tabs>
        <w:ind w:firstLine="640" w:firstLineChars="200"/>
        <w:rPr>
          <w:rFonts w:hint="eastAsia" w:ascii="仿宋" w:hAnsi="仿宋" w:eastAsia="仿宋" w:cs="仿宋"/>
          <w:bCs/>
          <w:sz w:val="32"/>
          <w:szCs w:val="32"/>
        </w:rPr>
      </w:pPr>
      <w:r>
        <w:rPr>
          <w:rFonts w:hint="eastAsia" w:ascii="仿宋" w:hAnsi="仿宋" w:eastAsia="仿宋" w:cs="仿宋"/>
          <w:bCs/>
          <w:sz w:val="32"/>
          <w:szCs w:val="32"/>
        </w:rPr>
        <w:t>（五）负责非物质文化遗产保护和研究。推动非物质文化遗产的保护、传承、普及、弘扬和振兴。</w:t>
      </w:r>
    </w:p>
    <w:p>
      <w:pPr>
        <w:tabs>
          <w:tab w:val="left" w:pos="6660"/>
        </w:tabs>
        <w:ind w:firstLine="640" w:firstLineChars="200"/>
        <w:rPr>
          <w:rFonts w:hint="eastAsia" w:ascii="仿宋" w:hAnsi="仿宋" w:eastAsia="仿宋" w:cs="仿宋"/>
          <w:bCs/>
          <w:sz w:val="32"/>
          <w:szCs w:val="32"/>
        </w:rPr>
      </w:pPr>
      <w:r>
        <w:rPr>
          <w:rFonts w:hint="eastAsia" w:ascii="仿宋" w:hAnsi="仿宋" w:eastAsia="仿宋" w:cs="仿宋"/>
          <w:bCs/>
          <w:sz w:val="32"/>
          <w:szCs w:val="32"/>
        </w:rPr>
        <w:t>（六）指导文化市场综合执法，组织查处文化、体育、旅游、文物、广播电视等市场的违法行为，督查督办案件，维护市场秩序。</w:t>
      </w:r>
    </w:p>
    <w:p>
      <w:pPr>
        <w:tabs>
          <w:tab w:val="left" w:pos="6660"/>
        </w:tabs>
        <w:ind w:firstLine="640" w:firstLineChars="200"/>
        <w:rPr>
          <w:rFonts w:hint="eastAsia" w:ascii="仿宋" w:hAnsi="仿宋" w:eastAsia="仿宋" w:cs="仿宋"/>
          <w:bCs/>
          <w:sz w:val="32"/>
          <w:szCs w:val="32"/>
          <w:rtl/>
        </w:rPr>
      </w:pPr>
      <w:r>
        <w:rPr>
          <w:rFonts w:hint="eastAsia" w:ascii="仿宋" w:hAnsi="仿宋" w:eastAsia="仿宋" w:cs="仿宋"/>
          <w:bCs/>
          <w:sz w:val="32"/>
          <w:szCs w:val="32"/>
        </w:rPr>
        <w:t>（七）负责统筹规划群众体育发展，推行全民健身计划；组织实施国家体育锻炼标准，推动国民体质监测和社会体育指导员工作队伍建设；指导公共体育设施建设，负责公共体育设施的监督管理；负责指导开展健身气功活动并加强监督管理</w:t>
      </w:r>
      <w:r>
        <w:rPr>
          <w:rFonts w:hint="eastAsia" w:ascii="仿宋" w:hAnsi="仿宋" w:eastAsia="仿宋" w:cs="仿宋"/>
          <w:bCs/>
          <w:sz w:val="32"/>
          <w:szCs w:val="32"/>
          <w:rtl/>
        </w:rPr>
        <w:t>。</w:t>
      </w:r>
    </w:p>
    <w:p>
      <w:pPr>
        <w:tabs>
          <w:tab w:val="left" w:pos="6660"/>
        </w:tabs>
        <w:ind w:firstLine="640" w:firstLineChars="200"/>
        <w:rPr>
          <w:rFonts w:hint="eastAsia" w:ascii="仿宋" w:hAnsi="仿宋" w:eastAsia="仿宋" w:cs="仿宋"/>
          <w:bCs/>
          <w:sz w:val="32"/>
          <w:szCs w:val="32"/>
        </w:rPr>
      </w:pPr>
      <w:r>
        <w:rPr>
          <w:rFonts w:hint="eastAsia" w:ascii="仿宋" w:hAnsi="仿宋" w:eastAsia="仿宋" w:cs="仿宋"/>
          <w:bCs/>
          <w:sz w:val="32"/>
          <w:szCs w:val="32"/>
        </w:rPr>
        <w:t>（八）贯彻党的宣传方针政策，拟订网络视听节目服务管理的政策措施，加强广播电视阵地管理，把握正确的舆论导向和创作导向。</w:t>
      </w:r>
    </w:p>
    <w:p>
      <w:pPr>
        <w:snapToGrid w:val="0"/>
        <w:spacing w:line="520" w:lineRule="exact"/>
        <w:ind w:firstLine="640" w:firstLineChars="200"/>
        <w:rPr>
          <w:rFonts w:hint="eastAsia" w:ascii="黑体" w:hAnsi="黑体" w:eastAsia="黑体" w:cs="宋体"/>
          <w:bCs/>
          <w:kern w:val="0"/>
          <w:sz w:val="32"/>
          <w:szCs w:val="32"/>
        </w:rPr>
      </w:pPr>
      <w:r>
        <w:rPr>
          <w:rFonts w:hint="eastAsia" w:ascii="仿宋" w:hAnsi="仿宋" w:eastAsia="仿宋" w:cs="仿宋"/>
          <w:bCs/>
          <w:sz w:val="32"/>
          <w:szCs w:val="32"/>
        </w:rPr>
        <w:t>（九）完成县委、政府交办的其他任务。</w:t>
      </w:r>
    </w:p>
    <w:p>
      <w:pPr>
        <w:spacing w:line="240" w:lineRule="auto"/>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spacing w:line="240" w:lineRule="auto"/>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裕民县文化体育广播电视和旅游局2023年度，实有人数</w:t>
      </w:r>
      <w:r>
        <w:rPr>
          <w:rFonts w:hint="eastAsia" w:ascii="仿宋_GB2312" w:eastAsia="仿宋_GB2312"/>
          <w:sz w:val="32"/>
          <w:szCs w:val="32"/>
          <w:lang w:val="zh-CN"/>
        </w:rPr>
        <w:t>51</w:t>
      </w:r>
      <w:r>
        <w:rPr>
          <w:rFonts w:hint="eastAsia" w:ascii="仿宋_GB2312" w:eastAsia="仿宋_GB2312"/>
          <w:sz w:val="32"/>
          <w:szCs w:val="32"/>
        </w:rPr>
        <w:t>人，其中：在职人员</w:t>
      </w:r>
      <w:r>
        <w:rPr>
          <w:rFonts w:hint="eastAsia" w:ascii="仿宋_GB2312" w:eastAsia="仿宋_GB2312"/>
          <w:sz w:val="32"/>
          <w:szCs w:val="32"/>
          <w:lang w:val="zh-CN"/>
        </w:rPr>
        <w:t>30</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21</w:t>
      </w:r>
      <w:r>
        <w:rPr>
          <w:rFonts w:hint="eastAsia" w:ascii="仿宋_GB2312" w:eastAsia="仿宋_GB2312"/>
          <w:sz w:val="32"/>
          <w:szCs w:val="32"/>
        </w:rPr>
        <w:t>人。</w:t>
      </w:r>
    </w:p>
    <w:p>
      <w:pPr>
        <w:ind w:firstLine="640" w:firstLineChars="200"/>
        <w:rPr>
          <w:rFonts w:hint="eastAsia" w:ascii="黑体" w:hAnsi="黑体" w:eastAsia="黑体"/>
          <w:sz w:val="32"/>
          <w:szCs w:val="32"/>
        </w:rPr>
      </w:pPr>
      <w:bookmarkStart w:id="6" w:name="_Toc29374"/>
      <w:bookmarkStart w:id="7" w:name="_Toc3092"/>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6</w:t>
      </w:r>
      <w:r>
        <w:rPr>
          <w:rFonts w:hint="eastAsia" w:ascii="仿宋_GB2312" w:hAnsi="黑体" w:eastAsia="仿宋_GB2312" w:cs="宋体"/>
          <w:bCs/>
          <w:kern w:val="0"/>
          <w:sz w:val="32"/>
          <w:szCs w:val="32"/>
        </w:rPr>
        <w:t>个处室，分别是：裕民县文化体育广播电视和旅游局本级，文化市场综合执法队、体育训练中心，博物馆、巴什拜展览馆、巴尔鲁克景区管理委员会。</w:t>
      </w:r>
    </w:p>
    <w:p>
      <w:pPr>
        <w:spacing w:line="240" w:lineRule="auto"/>
        <w:jc w:val="center"/>
        <w:outlineLvl w:val="0"/>
        <w:rPr>
          <w:rFonts w:hint="eastAsia" w:ascii="黑体" w:hAnsi="黑体" w:eastAsia="黑体"/>
          <w:sz w:val="32"/>
          <w:szCs w:val="32"/>
        </w:rPr>
      </w:pPr>
      <w:r>
        <w:rPr>
          <w:rFonts w:hint="eastAsia" w:ascii="黑体" w:hAnsi="黑体" w:eastAsia="黑体"/>
          <w:sz w:val="32"/>
          <w:szCs w:val="32"/>
        </w:rPr>
        <w:t>第二部分 部门决算情况说明</w:t>
      </w:r>
      <w:bookmarkEnd w:id="6"/>
      <w:bookmarkEnd w:id="7"/>
    </w:p>
    <w:p>
      <w:pPr>
        <w:spacing w:line="240" w:lineRule="auto"/>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spacing w:line="240" w:lineRule="auto"/>
        <w:ind w:firstLine="643" w:firstLineChars="200"/>
        <w:rPr>
          <w:rFonts w:ascii="仿宋_GB2312" w:eastAsia="仿宋_GB2312"/>
          <w:sz w:val="32"/>
          <w:szCs w:val="32"/>
        </w:rPr>
      </w:pPr>
      <w:r>
        <w:rPr>
          <w:rFonts w:hint="eastAsia" w:ascii="仿宋_GB2312" w:eastAsia="仿宋_GB2312"/>
          <w:b/>
          <w:bCs/>
          <w:sz w:val="32"/>
          <w:szCs w:val="32"/>
        </w:rPr>
        <w:t>2023年度收入总计3,571.12万元，</w:t>
      </w:r>
      <w:r>
        <w:rPr>
          <w:rFonts w:hint="eastAsia" w:ascii="仿宋_GB2312" w:eastAsia="仿宋_GB2312"/>
          <w:sz w:val="32"/>
          <w:szCs w:val="32"/>
        </w:rPr>
        <w:t>其中：本年收入合计3,571.12万元，使用非财政拨款结余0.00万元，年初结转和结余0.00万元。</w:t>
      </w:r>
    </w:p>
    <w:p>
      <w:pPr>
        <w:spacing w:line="240" w:lineRule="auto"/>
        <w:ind w:firstLine="643" w:firstLineChars="200"/>
        <w:rPr>
          <w:rFonts w:ascii="仿宋_GB2312" w:eastAsia="仿宋_GB2312"/>
          <w:sz w:val="32"/>
          <w:szCs w:val="32"/>
        </w:rPr>
      </w:pPr>
      <w:r>
        <w:rPr>
          <w:rFonts w:hint="eastAsia" w:ascii="仿宋_GB2312" w:eastAsia="仿宋_GB2312"/>
          <w:b/>
          <w:bCs/>
          <w:sz w:val="32"/>
          <w:szCs w:val="32"/>
        </w:rPr>
        <w:t>2023年度支出总计3,571.12万元</w:t>
      </w:r>
      <w:r>
        <w:rPr>
          <w:rFonts w:hint="eastAsia" w:ascii="仿宋_GB2312" w:eastAsia="仿宋_GB2312"/>
          <w:sz w:val="32"/>
          <w:szCs w:val="32"/>
        </w:rPr>
        <w:t>，其中：本年支出合计3,565.45万元，结余分配0.00万元，年末结转和结余5.67万元。</w:t>
      </w:r>
    </w:p>
    <w:p>
      <w:pPr>
        <w:spacing w:line="240" w:lineRule="auto"/>
        <w:ind w:firstLine="643" w:firstLineChars="200"/>
        <w:jc w:val="left"/>
        <w:rPr>
          <w:rFonts w:ascii="仿宋_GB2312" w:eastAsia="仿宋_GB2312"/>
          <w:sz w:val="32"/>
          <w:szCs w:val="32"/>
        </w:rPr>
      </w:pPr>
      <w:r>
        <w:rPr>
          <w:rFonts w:hint="eastAsia" w:ascii="仿宋_GB2312" w:eastAsia="仿宋_GB2312"/>
          <w:b/>
          <w:bCs/>
          <w:sz w:val="32"/>
          <w:szCs w:val="32"/>
        </w:rPr>
        <w:t>收入支出总体与上年相比</w:t>
      </w:r>
      <w:r>
        <w:rPr>
          <w:rFonts w:hint="eastAsia" w:ascii="仿宋_GB2312" w:eastAsia="仿宋_GB2312"/>
          <w:sz w:val="32"/>
          <w:szCs w:val="32"/>
        </w:rPr>
        <w:t>，</w:t>
      </w:r>
      <w:r>
        <w:rPr>
          <w:rFonts w:hint="eastAsia" w:ascii="仿宋_GB2312" w:eastAsia="仿宋_GB2312"/>
          <w:sz w:val="32"/>
          <w:szCs w:val="32"/>
          <w:lang w:val="zh-CN"/>
        </w:rPr>
        <w:t>增加893.94万元</w:t>
      </w:r>
      <w:r>
        <w:rPr>
          <w:rFonts w:hint="eastAsia" w:ascii="仿宋_GB2312" w:eastAsia="仿宋_GB2312"/>
          <w:sz w:val="32"/>
          <w:szCs w:val="32"/>
        </w:rPr>
        <w:t>，</w:t>
      </w:r>
      <w:r>
        <w:rPr>
          <w:rFonts w:hint="eastAsia" w:ascii="仿宋_GB2312" w:eastAsia="仿宋_GB2312"/>
          <w:sz w:val="32"/>
          <w:szCs w:val="32"/>
          <w:lang w:val="zh-CN"/>
        </w:rPr>
        <w:t>增长33.39%</w:t>
      </w:r>
      <w:r>
        <w:rPr>
          <w:rFonts w:hint="eastAsia" w:ascii="仿宋_GB2312" w:eastAsia="仿宋_GB2312"/>
          <w:sz w:val="32"/>
          <w:szCs w:val="32"/>
        </w:rPr>
        <w:t>，主要原因是：本年新增债券资金项目小白杨基础设施提升工程。</w:t>
      </w:r>
    </w:p>
    <w:p>
      <w:pPr>
        <w:spacing w:line="240" w:lineRule="auto"/>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spacing w:line="240" w:lineRule="auto"/>
        <w:ind w:firstLine="640" w:firstLineChars="200"/>
        <w:jc w:val="left"/>
        <w:rPr>
          <w:rFonts w:ascii="仿宋_GB2312" w:eastAsia="仿宋_GB2312"/>
          <w:sz w:val="32"/>
          <w:szCs w:val="32"/>
        </w:rPr>
      </w:pPr>
      <w:r>
        <w:rPr>
          <w:rFonts w:hint="eastAsia" w:ascii="仿宋_GB2312" w:eastAsia="仿宋_GB2312"/>
          <w:sz w:val="32"/>
          <w:szCs w:val="32"/>
        </w:rPr>
        <w:t>本年收入3,571.12万元，其中：财政拨款收入</w:t>
      </w:r>
      <w:r>
        <w:rPr>
          <w:rFonts w:hint="eastAsia" w:ascii="仿宋_GB2312" w:eastAsia="仿宋_GB2312"/>
          <w:sz w:val="32"/>
          <w:szCs w:val="32"/>
          <w:lang w:val="zh-CN"/>
        </w:rPr>
        <w:t>3,530.52</w:t>
      </w:r>
      <w:r>
        <w:rPr>
          <w:rFonts w:hint="eastAsia" w:ascii="仿宋_GB2312" w:eastAsia="仿宋_GB2312"/>
          <w:sz w:val="32"/>
          <w:szCs w:val="32"/>
        </w:rPr>
        <w:t>万元，占</w:t>
      </w:r>
      <w:r>
        <w:rPr>
          <w:rFonts w:hint="eastAsia" w:ascii="仿宋_GB2312" w:eastAsia="仿宋_GB2312"/>
          <w:sz w:val="32"/>
          <w:szCs w:val="32"/>
          <w:lang w:val="zh-CN"/>
        </w:rPr>
        <w:t>98.86</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40.60</w:t>
      </w:r>
      <w:r>
        <w:rPr>
          <w:rFonts w:hint="eastAsia" w:ascii="仿宋_GB2312" w:eastAsia="仿宋_GB2312"/>
          <w:sz w:val="32"/>
          <w:szCs w:val="32"/>
        </w:rPr>
        <w:t>万元，占</w:t>
      </w:r>
      <w:r>
        <w:rPr>
          <w:rFonts w:hint="eastAsia" w:ascii="仿宋_GB2312" w:eastAsia="仿宋_GB2312"/>
          <w:sz w:val="32"/>
          <w:szCs w:val="32"/>
          <w:lang w:val="zh-CN"/>
        </w:rPr>
        <w:t>1.14</w:t>
      </w:r>
      <w:r>
        <w:rPr>
          <w:rFonts w:hint="eastAsia" w:ascii="仿宋_GB2312" w:eastAsia="仿宋_GB2312"/>
          <w:sz w:val="32"/>
          <w:szCs w:val="32"/>
        </w:rPr>
        <w:t>%。</w:t>
      </w:r>
    </w:p>
    <w:p>
      <w:pPr>
        <w:spacing w:line="240" w:lineRule="auto"/>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spacing w:line="240" w:lineRule="auto"/>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本年支出3,565.45万元，其中：基本支出503.15万元，占14.11%；项目支出3,062.30万元，占85.89%；上缴上级支出0.00万元，占0.00%；经营支出0.00万元，占0.00%；对附属单位补助支出0.00万元，占0.00%。</w:t>
      </w:r>
    </w:p>
    <w:p>
      <w:pPr>
        <w:spacing w:line="240" w:lineRule="auto"/>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spacing w:line="240" w:lineRule="auto"/>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3,530.52</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3,530.52</w:t>
      </w:r>
      <w:r>
        <w:rPr>
          <w:rFonts w:hint="eastAsia" w:ascii="仿宋_GB2312" w:eastAsia="仿宋_GB2312"/>
          <w:sz w:val="32"/>
          <w:szCs w:val="32"/>
        </w:rPr>
        <w:t>万元。财政拨款支出总计</w:t>
      </w:r>
      <w:r>
        <w:rPr>
          <w:rFonts w:hint="eastAsia" w:ascii="仿宋_GB2312" w:eastAsia="仿宋_GB2312"/>
          <w:sz w:val="32"/>
          <w:szCs w:val="32"/>
          <w:lang w:val="zh-CN"/>
        </w:rPr>
        <w:t>3,530.52</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3,530.52</w:t>
      </w:r>
      <w:r>
        <w:rPr>
          <w:rFonts w:hint="eastAsia" w:ascii="仿宋_GB2312" w:eastAsia="仿宋_GB2312"/>
          <w:sz w:val="32"/>
          <w:szCs w:val="32"/>
        </w:rPr>
        <w:t>万元。</w:t>
      </w:r>
    </w:p>
    <w:p>
      <w:pPr>
        <w:spacing w:line="240" w:lineRule="auto"/>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增加865.80万元</w:t>
      </w:r>
      <w:r>
        <w:rPr>
          <w:rFonts w:hint="eastAsia" w:ascii="仿宋_GB2312" w:eastAsia="仿宋_GB2312"/>
          <w:sz w:val="32"/>
          <w:szCs w:val="32"/>
        </w:rPr>
        <w:t>，</w:t>
      </w:r>
      <w:r>
        <w:rPr>
          <w:rFonts w:hint="eastAsia" w:ascii="仿宋_GB2312" w:eastAsia="仿宋_GB2312"/>
          <w:sz w:val="32"/>
          <w:szCs w:val="32"/>
          <w:lang w:val="zh-CN"/>
        </w:rPr>
        <w:t>增长32.49%，</w:t>
      </w:r>
      <w:r>
        <w:rPr>
          <w:rFonts w:hint="eastAsia" w:ascii="仿宋_GB2312" w:eastAsia="仿宋_GB2312"/>
          <w:sz w:val="32"/>
          <w:szCs w:val="32"/>
        </w:rPr>
        <w:t>主要原因是：本年新增债券资金项目。与年初预算相比，年初预算数</w:t>
      </w:r>
      <w:r>
        <w:rPr>
          <w:rFonts w:hint="eastAsia" w:ascii="仿宋_GB2312" w:eastAsia="仿宋_GB2312"/>
          <w:sz w:val="32"/>
          <w:szCs w:val="32"/>
          <w:lang w:val="zh-CN"/>
        </w:rPr>
        <w:t>1,914.73</w:t>
      </w:r>
      <w:r>
        <w:rPr>
          <w:rFonts w:hint="eastAsia" w:ascii="仿宋_GB2312" w:eastAsia="仿宋_GB2312"/>
          <w:sz w:val="32"/>
          <w:szCs w:val="32"/>
        </w:rPr>
        <w:t>万元，决算数</w:t>
      </w:r>
      <w:r>
        <w:rPr>
          <w:rFonts w:hint="eastAsia" w:ascii="仿宋_GB2312" w:eastAsia="仿宋_GB2312"/>
          <w:sz w:val="32"/>
          <w:szCs w:val="32"/>
          <w:lang w:val="zh-CN"/>
        </w:rPr>
        <w:t>3,530.52</w:t>
      </w:r>
      <w:r>
        <w:rPr>
          <w:rFonts w:hint="eastAsia" w:ascii="仿宋_GB2312" w:eastAsia="仿宋_GB2312"/>
          <w:sz w:val="32"/>
          <w:szCs w:val="32"/>
        </w:rPr>
        <w:t>万元，预决算差异率84.39%，主要原因是：本年年中追加项目资金资金较多。</w:t>
      </w:r>
    </w:p>
    <w:p>
      <w:pPr>
        <w:spacing w:line="240" w:lineRule="auto"/>
        <w:ind w:firstLine="640" w:firstLineChars="200"/>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spacing w:line="240" w:lineRule="auto"/>
        <w:ind w:firstLine="640" w:firstLineChars="200"/>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2023年度一般公共预算财政拨款支出2,914.04万元，占本年支出合计的</w:t>
      </w:r>
      <w:r>
        <w:rPr>
          <w:rFonts w:hint="eastAsia" w:ascii="仿宋_GB2312" w:eastAsia="仿宋_GB2312"/>
          <w:sz w:val="32"/>
          <w:szCs w:val="32"/>
          <w:lang w:val="zh-CN"/>
        </w:rPr>
        <w:t>81.73%</w:t>
      </w:r>
      <w:r>
        <w:rPr>
          <w:rFonts w:hint="eastAsia" w:ascii="仿宋_GB2312" w:eastAsia="仿宋_GB2312"/>
          <w:sz w:val="32"/>
          <w:szCs w:val="32"/>
        </w:rPr>
        <w:t>。与上年相比，</w:t>
      </w:r>
      <w:r>
        <w:rPr>
          <w:rFonts w:hint="eastAsia" w:ascii="仿宋_GB2312" w:eastAsia="仿宋_GB2312"/>
          <w:sz w:val="32"/>
          <w:szCs w:val="32"/>
          <w:lang w:val="zh-CN"/>
        </w:rPr>
        <w:t>增加1,912.01万元</w:t>
      </w:r>
      <w:r>
        <w:rPr>
          <w:rFonts w:hint="eastAsia" w:ascii="仿宋_GB2312" w:eastAsia="仿宋_GB2312"/>
          <w:sz w:val="32"/>
          <w:szCs w:val="32"/>
        </w:rPr>
        <w:t>，</w:t>
      </w:r>
      <w:r>
        <w:rPr>
          <w:rFonts w:hint="eastAsia" w:ascii="仿宋_GB2312" w:eastAsia="仿宋_GB2312"/>
          <w:sz w:val="32"/>
          <w:szCs w:val="32"/>
          <w:lang w:val="zh-CN"/>
        </w:rPr>
        <w:t>增长190.81%，</w:t>
      </w:r>
      <w:r>
        <w:rPr>
          <w:rFonts w:hint="eastAsia" w:ascii="仿宋_GB2312" w:eastAsia="仿宋_GB2312"/>
          <w:sz w:val="32"/>
          <w:szCs w:val="32"/>
        </w:rPr>
        <w:t>主要原因是本年新增债券资金项目。与年初预算相比，年初预算数</w:t>
      </w:r>
      <w:r>
        <w:rPr>
          <w:rFonts w:hint="eastAsia" w:ascii="仿宋_GB2312" w:eastAsia="仿宋_GB2312"/>
          <w:sz w:val="32"/>
          <w:szCs w:val="32"/>
          <w:lang w:val="zh-CN"/>
        </w:rPr>
        <w:t>1,305.64</w:t>
      </w:r>
      <w:r>
        <w:rPr>
          <w:rFonts w:hint="eastAsia" w:ascii="仿宋_GB2312" w:eastAsia="仿宋_GB2312"/>
          <w:sz w:val="32"/>
          <w:szCs w:val="32"/>
        </w:rPr>
        <w:t>万元，决算数</w:t>
      </w:r>
      <w:r>
        <w:rPr>
          <w:rFonts w:hint="eastAsia" w:ascii="仿宋_GB2312" w:eastAsia="仿宋_GB2312"/>
          <w:sz w:val="32"/>
          <w:szCs w:val="32"/>
          <w:lang w:val="zh-CN"/>
        </w:rPr>
        <w:t>2,914.04</w:t>
      </w:r>
      <w:r>
        <w:rPr>
          <w:rFonts w:hint="eastAsia" w:ascii="仿宋_GB2312" w:eastAsia="仿宋_GB2312"/>
          <w:sz w:val="32"/>
          <w:szCs w:val="32"/>
        </w:rPr>
        <w:t>万元，预决算差异率</w:t>
      </w:r>
      <w:r>
        <w:rPr>
          <w:rFonts w:hint="eastAsia" w:ascii="仿宋_GB2312" w:eastAsia="仿宋_GB2312"/>
          <w:sz w:val="32"/>
          <w:szCs w:val="32"/>
          <w:lang w:val="zh-CN"/>
        </w:rPr>
        <w:t>123.19%</w:t>
      </w:r>
      <w:r>
        <w:rPr>
          <w:rFonts w:hint="eastAsia" w:ascii="仿宋_GB2312" w:eastAsia="仿宋_GB2312"/>
          <w:sz w:val="32"/>
          <w:szCs w:val="32"/>
        </w:rPr>
        <w:t>，主要原因是：年中追加项目资金较多。</w:t>
      </w:r>
    </w:p>
    <w:p>
      <w:pPr>
        <w:numPr>
          <w:ilvl w:val="0"/>
          <w:numId w:val="1"/>
        </w:numPr>
        <w:spacing w:line="240" w:lineRule="auto"/>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9"/>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hint="eastAsia" w:ascii="仿宋_GB2312" w:eastAsia="仿宋_GB2312"/>
          <w:kern w:val="2"/>
          <w:sz w:val="32"/>
          <w:szCs w:val="32"/>
          <w:lang w:val="zh-CN"/>
        </w:rPr>
        <w:t>5.00</w:t>
      </w:r>
      <w:r>
        <w:rPr>
          <w:rFonts w:ascii="仿宋_GB2312" w:eastAsia="仿宋_GB2312"/>
          <w:kern w:val="2"/>
          <w:sz w:val="32"/>
          <w:szCs w:val="32"/>
          <w:lang w:val="zh-CN"/>
        </w:rPr>
        <w:t>万元，占</w:t>
      </w:r>
      <w:r>
        <w:rPr>
          <w:rFonts w:hint="eastAsia" w:ascii="仿宋_GB2312" w:eastAsia="仿宋_GB2312"/>
          <w:kern w:val="2"/>
          <w:sz w:val="32"/>
          <w:szCs w:val="32"/>
          <w:lang w:val="zh-CN"/>
        </w:rPr>
        <w:t>0.17</w:t>
      </w:r>
      <w:r>
        <w:rPr>
          <w:rFonts w:ascii="仿宋_GB2312" w:eastAsia="仿宋_GB2312"/>
          <w:kern w:val="2"/>
          <w:sz w:val="32"/>
          <w:szCs w:val="32"/>
          <w:lang w:val="zh-CN"/>
        </w:rPr>
        <w:t>%；</w:t>
      </w:r>
    </w:p>
    <w:p>
      <w:pPr>
        <w:pStyle w:val="9"/>
        <w:widowControl/>
        <w:spacing w:before="0" w:beforeAutospacing="0" w:after="0" w:afterAutospacing="0"/>
        <w:ind w:firstLine="640" w:firstLineChars="200"/>
        <w:rPr>
          <w:rFonts w:ascii="仿宋_GB2312" w:eastAsia="仿宋_GB2312"/>
          <w:kern w:val="2"/>
          <w:sz w:val="32"/>
          <w:szCs w:val="32"/>
        </w:rPr>
      </w:pPr>
      <w:r>
        <w:rPr>
          <w:rFonts w:hint="eastAsia" w:ascii="仿宋_GB2312" w:eastAsia="仿宋_GB2312"/>
          <w:kern w:val="2"/>
          <w:sz w:val="32"/>
          <w:szCs w:val="32"/>
        </w:rPr>
        <w:t>2</w:t>
      </w:r>
      <w:r>
        <w:rPr>
          <w:rFonts w:ascii="仿宋_GB2312" w:eastAsia="仿宋_GB2312"/>
          <w:kern w:val="2"/>
          <w:sz w:val="32"/>
          <w:szCs w:val="32"/>
        </w:rPr>
        <w:t>.</w:t>
      </w:r>
      <w:r>
        <w:rPr>
          <w:rFonts w:ascii="仿宋_GB2312" w:eastAsia="仿宋_GB2312"/>
          <w:kern w:val="2"/>
          <w:sz w:val="32"/>
          <w:szCs w:val="32"/>
          <w:lang w:val="zh-CN"/>
        </w:rPr>
        <w:t>科学技术支出（类）</w:t>
      </w:r>
      <w:r>
        <w:rPr>
          <w:rFonts w:hint="eastAsia" w:ascii="仿宋_GB2312" w:eastAsia="仿宋_GB2312"/>
          <w:kern w:val="2"/>
          <w:sz w:val="32"/>
          <w:szCs w:val="32"/>
          <w:lang w:val="zh-CN"/>
        </w:rPr>
        <w:t>7.28</w:t>
      </w:r>
      <w:r>
        <w:rPr>
          <w:rFonts w:ascii="仿宋_GB2312" w:eastAsia="仿宋_GB2312"/>
          <w:kern w:val="2"/>
          <w:sz w:val="32"/>
          <w:szCs w:val="32"/>
          <w:lang w:val="zh-CN"/>
        </w:rPr>
        <w:t>万元，占</w:t>
      </w:r>
      <w:r>
        <w:rPr>
          <w:rFonts w:hint="eastAsia" w:ascii="仿宋_GB2312" w:eastAsia="仿宋_GB2312"/>
          <w:kern w:val="2"/>
          <w:sz w:val="32"/>
          <w:szCs w:val="32"/>
          <w:lang w:val="zh-CN"/>
        </w:rPr>
        <w:t>0.25</w:t>
      </w:r>
      <w:r>
        <w:rPr>
          <w:rFonts w:ascii="仿宋_GB2312" w:eastAsia="仿宋_GB2312"/>
          <w:kern w:val="2"/>
          <w:sz w:val="32"/>
          <w:szCs w:val="32"/>
        </w:rPr>
        <w:t>%；</w:t>
      </w:r>
    </w:p>
    <w:p>
      <w:pPr>
        <w:pStyle w:val="9"/>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3</w:t>
      </w:r>
      <w:r>
        <w:rPr>
          <w:rFonts w:ascii="仿宋_GB2312" w:eastAsia="仿宋_GB2312"/>
          <w:kern w:val="2"/>
          <w:sz w:val="32"/>
          <w:szCs w:val="32"/>
          <w:lang w:val="zh-CN"/>
        </w:rPr>
        <w:t>.文化旅游体育与传媒支出（类）</w:t>
      </w:r>
      <w:r>
        <w:rPr>
          <w:rFonts w:hint="eastAsia" w:ascii="仿宋_GB2312" w:eastAsia="仿宋_GB2312"/>
          <w:kern w:val="2"/>
          <w:sz w:val="32"/>
          <w:szCs w:val="32"/>
          <w:lang w:val="zh-CN"/>
        </w:rPr>
        <w:t>2,761.10</w:t>
      </w:r>
      <w:r>
        <w:rPr>
          <w:rFonts w:ascii="仿宋_GB2312" w:eastAsia="仿宋_GB2312"/>
          <w:kern w:val="2"/>
          <w:sz w:val="32"/>
          <w:szCs w:val="32"/>
          <w:lang w:val="zh-CN"/>
        </w:rPr>
        <w:t>万元，占</w:t>
      </w:r>
      <w:r>
        <w:rPr>
          <w:rFonts w:hint="eastAsia" w:ascii="仿宋_GB2312" w:eastAsia="仿宋_GB2312"/>
          <w:kern w:val="2"/>
          <w:sz w:val="32"/>
          <w:szCs w:val="32"/>
          <w:lang w:val="zh-CN"/>
        </w:rPr>
        <w:t>94.75</w:t>
      </w:r>
      <w:r>
        <w:rPr>
          <w:rFonts w:ascii="仿宋_GB2312" w:eastAsia="仿宋_GB2312"/>
          <w:kern w:val="2"/>
          <w:sz w:val="32"/>
          <w:szCs w:val="32"/>
          <w:lang w:val="zh-CN"/>
        </w:rPr>
        <w:t>%；</w:t>
      </w:r>
    </w:p>
    <w:p>
      <w:pPr>
        <w:pStyle w:val="9"/>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4</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70.45</w:t>
      </w:r>
      <w:r>
        <w:rPr>
          <w:rFonts w:ascii="仿宋_GB2312" w:eastAsia="仿宋_GB2312"/>
          <w:kern w:val="2"/>
          <w:sz w:val="32"/>
          <w:szCs w:val="32"/>
          <w:lang w:val="zh-CN"/>
        </w:rPr>
        <w:t>万元，占</w:t>
      </w:r>
      <w:r>
        <w:rPr>
          <w:rFonts w:hint="eastAsia" w:ascii="仿宋_GB2312" w:eastAsia="仿宋_GB2312"/>
          <w:kern w:val="2"/>
          <w:sz w:val="32"/>
          <w:szCs w:val="32"/>
          <w:lang w:val="zh-CN"/>
        </w:rPr>
        <w:t>2.42</w:t>
      </w:r>
      <w:r>
        <w:rPr>
          <w:rFonts w:ascii="仿宋_GB2312" w:eastAsia="仿宋_GB2312"/>
          <w:kern w:val="2"/>
          <w:sz w:val="32"/>
          <w:szCs w:val="32"/>
          <w:lang w:val="zh-CN"/>
        </w:rPr>
        <w:t>%；</w:t>
      </w:r>
    </w:p>
    <w:p>
      <w:pPr>
        <w:pStyle w:val="9"/>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5</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22.38</w:t>
      </w:r>
      <w:r>
        <w:rPr>
          <w:rFonts w:ascii="仿宋_GB2312" w:eastAsia="仿宋_GB2312"/>
          <w:kern w:val="2"/>
          <w:sz w:val="32"/>
          <w:szCs w:val="32"/>
          <w:lang w:val="zh-CN"/>
        </w:rPr>
        <w:t>万元，占</w:t>
      </w:r>
      <w:r>
        <w:rPr>
          <w:rFonts w:hint="eastAsia" w:ascii="仿宋_GB2312" w:eastAsia="仿宋_GB2312"/>
          <w:kern w:val="2"/>
          <w:sz w:val="32"/>
          <w:szCs w:val="32"/>
          <w:lang w:val="zh-CN"/>
        </w:rPr>
        <w:t>0.77</w:t>
      </w:r>
      <w:r>
        <w:rPr>
          <w:rFonts w:ascii="仿宋_GB2312" w:eastAsia="仿宋_GB2312"/>
          <w:kern w:val="2"/>
          <w:sz w:val="32"/>
          <w:szCs w:val="32"/>
          <w:lang w:val="zh-CN"/>
        </w:rPr>
        <w:t>%；</w:t>
      </w:r>
    </w:p>
    <w:p>
      <w:pPr>
        <w:pStyle w:val="9"/>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6</w:t>
      </w:r>
      <w:r>
        <w:rPr>
          <w:rFonts w:ascii="仿宋_GB2312" w:eastAsia="仿宋_GB2312"/>
          <w:kern w:val="2"/>
          <w:sz w:val="32"/>
          <w:szCs w:val="32"/>
          <w:lang w:val="zh-CN"/>
        </w:rPr>
        <w:t>.农林水支出（类）</w:t>
      </w:r>
      <w:r>
        <w:rPr>
          <w:rFonts w:hint="eastAsia" w:ascii="仿宋_GB2312" w:eastAsia="仿宋_GB2312"/>
          <w:kern w:val="2"/>
          <w:sz w:val="32"/>
          <w:szCs w:val="32"/>
          <w:lang w:val="zh-CN"/>
        </w:rPr>
        <w:t>14.59</w:t>
      </w:r>
      <w:r>
        <w:rPr>
          <w:rFonts w:ascii="仿宋_GB2312" w:eastAsia="仿宋_GB2312"/>
          <w:kern w:val="2"/>
          <w:sz w:val="32"/>
          <w:szCs w:val="32"/>
          <w:lang w:val="zh-CN"/>
        </w:rPr>
        <w:t>万元，占</w:t>
      </w:r>
      <w:r>
        <w:rPr>
          <w:rFonts w:hint="eastAsia" w:ascii="仿宋_GB2312" w:eastAsia="仿宋_GB2312"/>
          <w:kern w:val="2"/>
          <w:sz w:val="32"/>
          <w:szCs w:val="32"/>
          <w:lang w:val="zh-CN"/>
        </w:rPr>
        <w:t>0.50</w:t>
      </w:r>
      <w:r>
        <w:rPr>
          <w:rFonts w:ascii="仿宋_GB2312" w:eastAsia="仿宋_GB2312"/>
          <w:kern w:val="2"/>
          <w:sz w:val="32"/>
          <w:szCs w:val="32"/>
          <w:lang w:val="zh-CN"/>
        </w:rPr>
        <w:t>%；</w:t>
      </w:r>
    </w:p>
    <w:p>
      <w:pPr>
        <w:pStyle w:val="9"/>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7</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33.24</w:t>
      </w:r>
      <w:r>
        <w:rPr>
          <w:rFonts w:ascii="仿宋_GB2312" w:eastAsia="仿宋_GB2312"/>
          <w:kern w:val="2"/>
          <w:sz w:val="32"/>
          <w:szCs w:val="32"/>
          <w:lang w:val="zh-CN"/>
        </w:rPr>
        <w:t>万元，占</w:t>
      </w:r>
      <w:r>
        <w:rPr>
          <w:rFonts w:hint="eastAsia" w:ascii="仿宋_GB2312" w:eastAsia="仿宋_GB2312"/>
          <w:kern w:val="2"/>
          <w:sz w:val="32"/>
          <w:szCs w:val="32"/>
          <w:lang w:val="zh-CN"/>
        </w:rPr>
        <w:t>1.14</w:t>
      </w:r>
      <w:r>
        <w:rPr>
          <w:rFonts w:ascii="仿宋_GB2312" w:eastAsia="仿宋_GB2312"/>
          <w:kern w:val="2"/>
          <w:sz w:val="32"/>
          <w:szCs w:val="32"/>
          <w:lang w:val="zh-CN"/>
        </w:rPr>
        <w:t>%；</w:t>
      </w:r>
    </w:p>
    <w:p>
      <w:pPr>
        <w:spacing w:line="240" w:lineRule="auto"/>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eastAsia="仿宋_GB2312"/>
          <w:sz w:val="32"/>
          <w:szCs w:val="32"/>
          <w:lang w:val="zh-CN"/>
        </w:rPr>
      </w:pPr>
      <w:r>
        <w:rPr>
          <w:rFonts w:hint="eastAsia" w:eastAsia="仿宋_GB2312"/>
          <w:sz w:val="32"/>
          <w:szCs w:val="32"/>
        </w:rPr>
        <w:t>1.文化旅游体育与传媒支出（类）文物（款）文物保护（项）:支出决算数为4.80万元，比上年决算增加0.00万元，增长0.00%，主要原因是：看护人员人数及补助发放数无变动</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2.卫生健康支出（类）行政事业单位医疗（款）行政单位医疗（项）:支出决算数为18.75万元，比上年决算增加0.76万元，增长4.22%，主要原因是：本年行政单位医疗基数调整</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3.卫生健康支出（类）行政事业单位医疗（款）公务员医疗补助（项）:支出决算数为3.63万元，比上年决算增加0.73万元，增长25.17%，主要原因是：本年公务员医疗补助基数调整</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4.文化旅游体育与传媒支出（类）文化和旅游（款）行政运行（项）:支出决算数为369.81万元，比上年决算减少6.50万元，下降1.73%，主要原因是：本年度单位人员减少大，对支出数造成了影响</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5.住房保障支出（类）住房改革支出（款）住房公积金（项）:支出决算数为33.24万元，比上年决算增加2.84万元，增长9.34%，主要原因是：本年住房公积金基数调整</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6.文化旅游体育与传媒支出（类）文化和旅游（款）其他文化和旅游支出（项）:支出决算数为346.06万元，比上年决算增加204.44万元，增长144.36%，主要原因是：本年文化体育旅游年中追加项目较多</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7.社会保障和就业支出（类）行政事业单位养老支出（款）行政单位离退休（项）:支出决算数为11.66万元，比上年决算减少11.12万元，下降48.81%，主要原因是：本年退休医疗基数调整</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8.社会保障和就业支出（类）行政事业单位养老支出（款）机关事业单位职业年金缴费支出（项）:支出决算数为16.57万元，比上年决算增加16.57万元，增长100%，主要原因是：本年新增退休人员</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9.社会保障和就业支出（类）行政事业单位养老支出（款）机关事业单位基本养老保险缴费支出（项）:支出决算数为42.21万元，比上年决算增加6.00万元，增长16.56%，主要原因是：本年新增退休人员</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10.农林水支出（类）农业农村（款）其他农业农村支出（项）:支出决算数为14.59万元，比上年决算增加14.59万元，增长100%，主要原因是：本年有项目尾款支出</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11.一般公共服务支出（类）发展与改革事务（款）社会事业发展规划（项）:支出决算数为5.00万元，比上年决算增加5.00万元，增长100%，主要原因是：此为本年新增项目</w:t>
      </w:r>
      <w:r>
        <w:rPr>
          <w:rFonts w:hint="eastAsia" w:eastAsia="仿宋_GB2312"/>
          <w:sz w:val="32"/>
          <w:szCs w:val="32"/>
          <w:lang w:eastAsia="zh-CN"/>
        </w:rPr>
        <w:t>第一批自治区预算内投资[前期费]</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12.文化旅游体育与传媒支出（类）广播电视（款）广播电视事务（项）:支出决算数为16.00万元，比上年决算增加0.00万元，增长0.00%，主要原因是：广播电视运行维护费用收支无变动</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13.科学技术支出（类）科学技术管理事务（款）其他科学技术管理事务支出（项）:支出决算数为7.28万元，比上年决算减少4.52万元，下降38.30%，主要原因是：财政聘用人员减少</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14.文化旅游体育与传媒支出（类）其他文化旅游体育与传媒支出（款）其他文化旅游体育与传媒支出（项）:支出决算数为977.41万元，比上年决算增加660.52万元，增长208.44%，主要原因是：本年年中追加项目建设用地土地出让金</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15.文化旅游体育与传媒支出（类）广播电视（款）其他广播电视支出（项）:支出决算数为9.96万元，比上年决算增加0.00万元，增长0.00%，主要原因是：广播电视维修人员人数及补助数无变动</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16.文化旅游体育与传媒支出（类）文物（款）博物馆（项）:支出决算数为1,008.42万元，比上年决算增加1,004.05万元，增长</w:t>
      </w:r>
      <w:r>
        <w:rPr>
          <w:rFonts w:eastAsia="仿宋_GB2312"/>
          <w:sz w:val="32"/>
          <w:szCs w:val="32"/>
        </w:rPr>
        <w:t>22975.97%</w:t>
      </w:r>
      <w:r>
        <w:rPr>
          <w:rFonts w:hint="eastAsia" w:eastAsia="仿宋_GB2312"/>
          <w:sz w:val="32"/>
          <w:szCs w:val="32"/>
        </w:rPr>
        <w:t>，主要原因是：本年新增博物馆提升改造项目</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17.文化旅游体育与传媒支出（类）体育（款）体育场馆（项）:支出决算数为28.65万元，比上年决算增加28.65万元，增长100%，主要原因是：本年中央及自治区拨付了体育场馆开放金</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18.其他支出（类）其他支出（款）其他支出（项）:支出决算数为0.00万元，比上年决算减少10.00万元，下降100%，主要原因是：访惠聚工作经费科目调整</w:t>
      </w:r>
      <w:r>
        <w:rPr>
          <w:rFonts w:hint="eastAsia" w:eastAsia="仿宋_GB2312"/>
          <w:sz w:val="32"/>
          <w:szCs w:val="32"/>
          <w:lang w:val="zh-CN"/>
        </w:rPr>
        <w:t>。</w:t>
      </w:r>
    </w:p>
    <w:p>
      <w:pPr>
        <w:spacing w:line="240" w:lineRule="auto"/>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spacing w:line="240" w:lineRule="auto"/>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503.15万元，其中：人员经费470.00万元，包括：基本工资、津贴补贴、奖金、绩效工资、机关事业单位基本养老保险缴费、职业年金缴费、职工基本医疗保险缴费、公务员医疗补助缴费、其他社会保障缴费、住房公积金、其他工资福利支出、退休费、生活补助、医疗费补助、其他工资福利支出。</w:t>
      </w:r>
    </w:p>
    <w:p>
      <w:pPr>
        <w:spacing w:line="240" w:lineRule="auto"/>
        <w:ind w:firstLine="640" w:firstLineChars="200"/>
        <w:jc w:val="left"/>
        <w:rPr>
          <w:rFonts w:ascii="仿宋_GB2312" w:eastAsia="仿宋_GB2312"/>
          <w:sz w:val="32"/>
          <w:szCs w:val="32"/>
          <w:highlight w:val="red"/>
        </w:rPr>
      </w:pPr>
      <w:r>
        <w:rPr>
          <w:rFonts w:hint="eastAsia" w:ascii="仿宋_GB2312" w:eastAsia="仿宋_GB2312"/>
          <w:sz w:val="32"/>
          <w:szCs w:val="32"/>
        </w:rPr>
        <w:t>公用经费33.15万元，包括：办公费、电费、邮电费、取暖费、差旅费、维修（护）费、劳务费、工会经费、公务用车运行维护费、其他商品和服务支出。</w:t>
      </w:r>
    </w:p>
    <w:p>
      <w:pPr>
        <w:spacing w:line="240" w:lineRule="auto"/>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spacing w:line="240" w:lineRule="auto"/>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“三公”经费支出1.98万元，</w:t>
      </w:r>
      <w:r>
        <w:rPr>
          <w:rFonts w:hint="eastAsia" w:ascii="仿宋_GB2312" w:eastAsia="仿宋_GB2312"/>
          <w:sz w:val="32"/>
          <w:szCs w:val="32"/>
        </w:rPr>
        <w:t>比上年</w:t>
      </w:r>
      <w:r>
        <w:rPr>
          <w:rFonts w:hint="eastAsia" w:ascii="仿宋_GB2312" w:eastAsia="仿宋_GB2312"/>
          <w:sz w:val="32"/>
          <w:szCs w:val="32"/>
          <w:lang w:val="zh-CN"/>
        </w:rPr>
        <w:t>减少2.02万元，下降50.38%，主要原因是：</w:t>
      </w:r>
      <w:r>
        <w:rPr>
          <w:rFonts w:hint="eastAsia" w:ascii="仿宋_GB2312" w:eastAsia="仿宋_GB2312"/>
          <w:sz w:val="32"/>
          <w:szCs w:val="32"/>
        </w:rPr>
        <w:t>本年单位缩减公用经费开支</w:t>
      </w:r>
      <w:r>
        <w:rPr>
          <w:rFonts w:hint="eastAsia" w:ascii="仿宋_GB2312" w:eastAsia="仿宋_GB2312"/>
          <w:sz w:val="32"/>
          <w:szCs w:val="32"/>
          <w:lang w:val="zh-CN"/>
        </w:rPr>
        <w:t>。其中：因公出国（境）费支出0.00万元，占0.00%，比上年增加0.00万元，增长0.00%，主要原因是：</w:t>
      </w:r>
      <w:r>
        <w:rPr>
          <w:rFonts w:hint="eastAsia" w:ascii="仿宋_GB2312" w:eastAsia="仿宋_GB2312"/>
          <w:sz w:val="32"/>
          <w:szCs w:val="32"/>
        </w:rPr>
        <w:t>本单位无出国出境情况发生</w:t>
      </w:r>
      <w:r>
        <w:rPr>
          <w:rFonts w:hint="eastAsia" w:ascii="仿宋_GB2312" w:eastAsia="仿宋_GB2312"/>
          <w:sz w:val="32"/>
          <w:szCs w:val="32"/>
          <w:lang w:val="zh-CN"/>
        </w:rPr>
        <w:t>；公务用车购置及运行维护费支出1.98万元，占100.00%，比上年减少2.02万元，下降50.38%，主要原因是：</w:t>
      </w:r>
      <w:r>
        <w:rPr>
          <w:rFonts w:hint="eastAsia" w:ascii="仿宋_GB2312" w:eastAsia="仿宋_GB2312"/>
          <w:sz w:val="32"/>
          <w:szCs w:val="32"/>
        </w:rPr>
        <w:t>本年单位缩减公用经费开支</w:t>
      </w:r>
      <w:r>
        <w:rPr>
          <w:rFonts w:hint="eastAsia" w:ascii="仿宋_GB2312" w:eastAsia="仿宋_GB2312"/>
          <w:sz w:val="32"/>
          <w:szCs w:val="32"/>
          <w:lang w:val="zh-CN"/>
        </w:rPr>
        <w:t>；公务接待费支出0.00万元，占0.00%，比上年增加0.00万元，增长0.00%，主要原因是：</w:t>
      </w:r>
      <w:r>
        <w:rPr>
          <w:rFonts w:hint="eastAsia" w:ascii="仿宋_GB2312" w:eastAsia="仿宋_GB2312"/>
          <w:sz w:val="32"/>
          <w:szCs w:val="32"/>
        </w:rPr>
        <w:t>本单位无公务接待情况发生</w:t>
      </w:r>
      <w:r>
        <w:rPr>
          <w:rFonts w:hint="eastAsia" w:ascii="仿宋_GB2312" w:eastAsia="仿宋_GB2312"/>
          <w:sz w:val="32"/>
          <w:szCs w:val="32"/>
          <w:lang w:val="zh-CN"/>
        </w:rPr>
        <w:t>。</w:t>
      </w:r>
    </w:p>
    <w:p>
      <w:pPr>
        <w:spacing w:line="240" w:lineRule="auto"/>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spacing w:line="240" w:lineRule="auto"/>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w:t>
      </w:r>
      <w:r>
        <w:rPr>
          <w:rFonts w:hint="eastAsia" w:ascii="仿宋_GB2312" w:eastAsia="仿宋_GB2312"/>
          <w:sz w:val="32"/>
          <w:szCs w:val="32"/>
        </w:rPr>
        <w:t>无</w:t>
      </w:r>
      <w:r>
        <w:rPr>
          <w:rFonts w:hint="eastAsia" w:ascii="仿宋_GB2312" w:eastAsia="仿宋_GB2312"/>
          <w:sz w:val="32"/>
          <w:szCs w:val="32"/>
          <w:lang w:val="zh-CN"/>
        </w:rPr>
        <w:t>开支内容。单位全年安排的因公出国（境）团组0个，因公出国（境）0人次。</w:t>
      </w:r>
    </w:p>
    <w:p>
      <w:pPr>
        <w:spacing w:line="240" w:lineRule="auto"/>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公务用车购置及运行维护费1.98万元，其中：公务用车购置费0.00万元，公务用车运行维护费1.98万元。公务用车运行维护费开支内容包括</w:t>
      </w:r>
      <w:r>
        <w:rPr>
          <w:rFonts w:hint="eastAsia" w:ascii="仿宋_GB2312" w:eastAsia="仿宋_GB2312"/>
          <w:sz w:val="32"/>
          <w:szCs w:val="32"/>
        </w:rPr>
        <w:t>审车及车辆保险1.39万元，车辆加油0.59万元</w:t>
      </w:r>
      <w:r>
        <w:rPr>
          <w:rFonts w:hint="eastAsia" w:ascii="仿宋_GB2312" w:eastAsia="仿宋_GB2312"/>
          <w:sz w:val="32"/>
          <w:szCs w:val="32"/>
          <w:lang w:val="zh-CN"/>
        </w:rPr>
        <w:t>。公务用车购置数0辆，公务用车保有量10辆。国有资产占用情况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10辆，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r>
        <w:rPr>
          <w:rFonts w:hint="eastAsia" w:ascii="仿宋_GB2312" w:eastAsia="仿宋_GB2312"/>
          <w:sz w:val="32"/>
          <w:szCs w:val="32"/>
        </w:rPr>
        <w:t>与公务用车保有量无差异。</w:t>
      </w:r>
    </w:p>
    <w:p>
      <w:pPr>
        <w:spacing w:line="240" w:lineRule="auto"/>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w:t>
      </w:r>
      <w:r>
        <w:rPr>
          <w:rFonts w:hint="eastAsia" w:ascii="仿宋_GB2312" w:eastAsia="仿宋_GB2312"/>
          <w:sz w:val="32"/>
          <w:szCs w:val="32"/>
        </w:rPr>
        <w:t>无</w:t>
      </w:r>
      <w:r>
        <w:rPr>
          <w:rFonts w:hint="eastAsia" w:ascii="仿宋_GB2312" w:eastAsia="仿宋_GB2312"/>
          <w:sz w:val="32"/>
          <w:szCs w:val="32"/>
          <w:lang w:val="zh-CN"/>
        </w:rPr>
        <w:t>开支内容。单位全年安排的国内公务接待0批次，0人次。</w:t>
      </w:r>
    </w:p>
    <w:p>
      <w:pPr>
        <w:spacing w:line="240" w:lineRule="auto"/>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预算数1.98万元，决算数1.98万元，预决算差异率0.00%，主要原因是：</w:t>
      </w:r>
      <w:r>
        <w:rPr>
          <w:rFonts w:hint="eastAsia" w:ascii="仿宋_GB2312" w:eastAsia="仿宋_GB2312"/>
          <w:sz w:val="32"/>
          <w:szCs w:val="32"/>
        </w:rPr>
        <w:t>预算与支出一致，无差异</w:t>
      </w:r>
      <w:r>
        <w:rPr>
          <w:rFonts w:hint="eastAsia" w:ascii="仿宋_GB2312" w:eastAsia="仿宋_GB2312"/>
          <w:sz w:val="32"/>
          <w:szCs w:val="32"/>
          <w:lang w:val="zh-CN"/>
        </w:rPr>
        <w:t>。其中：因公出国（境）费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w:t>
      </w:r>
      <w:r>
        <w:rPr>
          <w:rFonts w:hint="eastAsia" w:ascii="仿宋_GB2312" w:eastAsia="仿宋_GB2312"/>
          <w:sz w:val="32"/>
          <w:szCs w:val="32"/>
        </w:rPr>
        <w:t>本单位无出国出境情况发生，无差异</w:t>
      </w:r>
      <w:r>
        <w:rPr>
          <w:rFonts w:hint="eastAsia" w:ascii="仿宋_GB2312" w:eastAsia="仿宋_GB2312"/>
          <w:sz w:val="32"/>
          <w:szCs w:val="32"/>
          <w:lang w:val="zh-CN"/>
        </w:rPr>
        <w:t>；公务用车购置费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eastAsia="仿宋_GB2312"/>
          <w:sz w:val="32"/>
          <w:szCs w:val="32"/>
        </w:rPr>
        <w:t>本单位无购置车辆，无差异</w:t>
      </w:r>
      <w:r>
        <w:rPr>
          <w:rFonts w:hint="eastAsia" w:ascii="仿宋_GB2312" w:eastAsia="仿宋_GB2312"/>
          <w:sz w:val="32"/>
          <w:szCs w:val="32"/>
          <w:lang w:val="zh-CN"/>
        </w:rPr>
        <w:t>；公务用车运行费</w:t>
      </w:r>
      <w:r>
        <w:rPr>
          <w:rFonts w:hint="eastAsia" w:ascii="仿宋_GB2312" w:eastAsia="仿宋_GB2312"/>
          <w:sz w:val="32"/>
          <w:szCs w:val="32"/>
        </w:rPr>
        <w:t>全年</w:t>
      </w:r>
      <w:r>
        <w:rPr>
          <w:rFonts w:hint="eastAsia" w:ascii="仿宋_GB2312" w:eastAsia="仿宋_GB2312"/>
          <w:sz w:val="32"/>
          <w:szCs w:val="32"/>
          <w:lang w:val="zh-CN"/>
        </w:rPr>
        <w:t>预算数1.98万元，决算数1.98万元，预决算差异率0.00%，主要原因是：</w:t>
      </w:r>
      <w:r>
        <w:rPr>
          <w:rFonts w:hint="eastAsia" w:ascii="仿宋_GB2312" w:eastAsia="仿宋_GB2312"/>
          <w:sz w:val="32"/>
          <w:szCs w:val="32"/>
        </w:rPr>
        <w:t>预算与支出一致，无差异</w:t>
      </w:r>
      <w:r>
        <w:rPr>
          <w:rFonts w:hint="eastAsia" w:ascii="仿宋_GB2312" w:eastAsia="仿宋_GB2312"/>
          <w:sz w:val="32"/>
          <w:szCs w:val="32"/>
          <w:lang w:val="zh-CN"/>
        </w:rPr>
        <w:t>；公务接待费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eastAsia="仿宋_GB2312"/>
          <w:sz w:val="32"/>
          <w:szCs w:val="32"/>
        </w:rPr>
        <w:t>本年无公务接待情况发生，无差异</w:t>
      </w:r>
      <w:r>
        <w:rPr>
          <w:rFonts w:hint="eastAsia" w:ascii="仿宋_GB2312" w:eastAsia="仿宋_GB2312"/>
          <w:sz w:val="32"/>
          <w:szCs w:val="32"/>
          <w:lang w:val="zh-CN"/>
        </w:rPr>
        <w:t>。</w:t>
      </w:r>
    </w:p>
    <w:p>
      <w:pPr>
        <w:spacing w:line="240" w:lineRule="auto"/>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pPr>
        <w:spacing w:line="240" w:lineRule="auto"/>
        <w:ind w:firstLine="640" w:firstLineChars="200"/>
        <w:jc w:val="left"/>
        <w:rPr>
          <w:rFonts w:eastAsia="仿宋_GB2312"/>
          <w:sz w:val="32"/>
          <w:szCs w:val="32"/>
          <w:lang w:val="zh-CN"/>
        </w:rPr>
      </w:pPr>
      <w:r>
        <w:rPr>
          <w:rFonts w:hint="eastAsia" w:eastAsia="仿宋_GB2312"/>
          <w:sz w:val="32"/>
          <w:szCs w:val="32"/>
          <w:lang w:val="zh-CN"/>
        </w:rPr>
        <w:t>2023年度政府性基金预算</w:t>
      </w:r>
      <w:r>
        <w:rPr>
          <w:rFonts w:hint="eastAsia" w:eastAsia="仿宋_GB2312"/>
          <w:sz w:val="32"/>
          <w:szCs w:val="32"/>
        </w:rPr>
        <w:t>财政拨款</w:t>
      </w:r>
      <w:r>
        <w:rPr>
          <w:rFonts w:hint="eastAsia" w:eastAsia="仿宋_GB2312"/>
          <w:sz w:val="32"/>
          <w:szCs w:val="32"/>
          <w:lang w:val="zh-CN"/>
        </w:rPr>
        <w:t>收入</w:t>
      </w:r>
      <w:r>
        <w:rPr>
          <w:rFonts w:hint="eastAsia" w:eastAsia="仿宋_GB2312"/>
          <w:sz w:val="32"/>
          <w:szCs w:val="32"/>
        </w:rPr>
        <w:t>总计616.48</w:t>
      </w:r>
      <w:r>
        <w:rPr>
          <w:rFonts w:hint="eastAsia" w:eastAsia="仿宋_GB2312"/>
          <w:sz w:val="32"/>
          <w:szCs w:val="32"/>
          <w:lang w:val="zh-CN"/>
        </w:rPr>
        <w:t>万元，</w:t>
      </w:r>
      <w:r>
        <w:rPr>
          <w:rFonts w:hint="eastAsia" w:eastAsia="仿宋_GB2312"/>
          <w:sz w:val="32"/>
          <w:szCs w:val="32"/>
        </w:rPr>
        <w:t>其中：年初结转和结余0.00</w:t>
      </w:r>
      <w:r>
        <w:rPr>
          <w:rFonts w:hint="eastAsia" w:eastAsia="仿宋_GB2312"/>
          <w:sz w:val="32"/>
          <w:szCs w:val="32"/>
          <w:lang w:val="zh-CN"/>
        </w:rPr>
        <w:t>万元，</w:t>
      </w:r>
      <w:r>
        <w:rPr>
          <w:rFonts w:hint="eastAsia" w:eastAsia="仿宋_GB2312"/>
          <w:sz w:val="32"/>
          <w:szCs w:val="32"/>
        </w:rPr>
        <w:t>本年收入616.48</w:t>
      </w:r>
      <w:r>
        <w:rPr>
          <w:rFonts w:hint="eastAsia" w:eastAsia="仿宋_GB2312"/>
          <w:sz w:val="32"/>
          <w:szCs w:val="32"/>
          <w:lang w:val="zh-CN"/>
        </w:rPr>
        <w:t>万元。政府性基金预算财政拨款支出</w:t>
      </w:r>
      <w:r>
        <w:rPr>
          <w:rFonts w:hint="eastAsia" w:eastAsia="仿宋_GB2312"/>
          <w:sz w:val="32"/>
          <w:szCs w:val="32"/>
        </w:rPr>
        <w:t>总计616.48</w:t>
      </w:r>
      <w:r>
        <w:rPr>
          <w:rFonts w:hint="eastAsia" w:eastAsia="仿宋_GB2312"/>
          <w:sz w:val="32"/>
          <w:szCs w:val="32"/>
          <w:lang w:val="zh-CN"/>
        </w:rPr>
        <w:t>万元，</w:t>
      </w:r>
      <w:r>
        <w:rPr>
          <w:rFonts w:hint="eastAsia" w:eastAsia="仿宋_GB2312"/>
          <w:sz w:val="32"/>
          <w:szCs w:val="32"/>
        </w:rPr>
        <w:t>其中：年末结转和结余0.00</w:t>
      </w:r>
      <w:r>
        <w:rPr>
          <w:rFonts w:hint="eastAsia" w:eastAsia="仿宋_GB2312"/>
          <w:sz w:val="32"/>
          <w:szCs w:val="32"/>
          <w:lang w:val="zh-CN"/>
        </w:rPr>
        <w:t>万元，</w:t>
      </w:r>
      <w:r>
        <w:rPr>
          <w:rFonts w:hint="eastAsia" w:eastAsia="仿宋_GB2312"/>
          <w:sz w:val="32"/>
          <w:szCs w:val="32"/>
        </w:rPr>
        <w:t>本年支出616.48</w:t>
      </w:r>
      <w:r>
        <w:rPr>
          <w:rFonts w:hint="eastAsia" w:eastAsia="仿宋_GB2312"/>
          <w:sz w:val="32"/>
          <w:szCs w:val="32"/>
          <w:lang w:val="zh-CN"/>
        </w:rPr>
        <w:t>万元。</w:t>
      </w:r>
    </w:p>
    <w:p>
      <w:pPr>
        <w:ind w:firstLine="640" w:firstLineChars="200"/>
        <w:rPr>
          <w:rFonts w:eastAsia="仿宋_GB2312"/>
          <w:sz w:val="32"/>
          <w:szCs w:val="32"/>
          <w:lang w:val="zh-CN"/>
        </w:rPr>
      </w:pPr>
      <w:r>
        <w:rPr>
          <w:rFonts w:hint="eastAsia" w:eastAsia="仿宋_GB2312"/>
          <w:sz w:val="32"/>
          <w:szCs w:val="32"/>
          <w:lang w:val="zh-CN"/>
        </w:rPr>
        <w:t>政府性基金预算财政拨款</w:t>
      </w:r>
      <w:r>
        <w:rPr>
          <w:rFonts w:hint="eastAsia" w:eastAsia="仿宋_GB2312"/>
          <w:sz w:val="32"/>
          <w:szCs w:val="32"/>
        </w:rPr>
        <w:t>收入支出</w:t>
      </w:r>
      <w:r>
        <w:rPr>
          <w:rFonts w:hint="eastAsia" w:eastAsia="仿宋_GB2312"/>
          <w:sz w:val="32"/>
          <w:szCs w:val="32"/>
          <w:lang w:val="zh-CN"/>
        </w:rPr>
        <w:t>与上年相比，减少1,046.21万元，下降62.92%，主要原因是：</w:t>
      </w:r>
      <w:r>
        <w:rPr>
          <w:rFonts w:hint="eastAsia" w:eastAsia="仿宋_GB2312"/>
          <w:sz w:val="32"/>
          <w:szCs w:val="32"/>
        </w:rPr>
        <w:t>本年基金类债券资金减少</w:t>
      </w:r>
      <w:r>
        <w:rPr>
          <w:rFonts w:hint="eastAsia" w:eastAsia="仿宋_GB2312"/>
          <w:sz w:val="32"/>
          <w:szCs w:val="32"/>
          <w:lang w:val="zh-CN"/>
        </w:rPr>
        <w:t>。与年初预算相比</w:t>
      </w:r>
      <w:r>
        <w:rPr>
          <w:rFonts w:hint="eastAsia" w:eastAsia="仿宋_GB2312"/>
          <w:sz w:val="32"/>
          <w:szCs w:val="32"/>
        </w:rPr>
        <w:t>,</w:t>
      </w:r>
      <w:r>
        <w:rPr>
          <w:rFonts w:hint="eastAsia" w:eastAsia="仿宋_GB2312"/>
          <w:sz w:val="32"/>
          <w:szCs w:val="32"/>
          <w:lang w:val="zh-CN"/>
        </w:rPr>
        <w:t>年初预算数</w:t>
      </w:r>
      <w:r>
        <w:rPr>
          <w:rFonts w:hint="eastAsia" w:eastAsia="仿宋_GB2312"/>
          <w:sz w:val="32"/>
          <w:szCs w:val="32"/>
        </w:rPr>
        <w:t>609.10</w:t>
      </w:r>
      <w:r>
        <w:rPr>
          <w:rFonts w:hint="eastAsia" w:eastAsia="仿宋_GB2312"/>
          <w:sz w:val="32"/>
          <w:szCs w:val="32"/>
          <w:lang w:val="zh-CN"/>
        </w:rPr>
        <w:t>万元，决算数</w:t>
      </w:r>
      <w:r>
        <w:rPr>
          <w:rFonts w:hint="eastAsia" w:eastAsia="仿宋_GB2312"/>
          <w:sz w:val="30"/>
          <w:szCs w:val="30"/>
        </w:rPr>
        <w:t>616.48</w:t>
      </w:r>
      <w:r>
        <w:rPr>
          <w:rFonts w:hint="eastAsia" w:eastAsia="仿宋_GB2312"/>
          <w:sz w:val="32"/>
          <w:szCs w:val="32"/>
          <w:lang w:val="zh-CN"/>
        </w:rPr>
        <w:t>万元，预决算差异率1.21%，主要原因是：</w:t>
      </w:r>
      <w:r>
        <w:rPr>
          <w:rFonts w:hint="eastAsia" w:eastAsia="仿宋_GB2312"/>
          <w:sz w:val="32"/>
          <w:szCs w:val="32"/>
        </w:rPr>
        <w:t>体育类彩票公益金部分未及时支出</w:t>
      </w:r>
      <w:r>
        <w:rPr>
          <w:rFonts w:hint="eastAsia" w:eastAsia="仿宋_GB2312"/>
          <w:sz w:val="32"/>
          <w:szCs w:val="32"/>
          <w:lang w:val="zh-CN"/>
        </w:rPr>
        <w:t>。</w:t>
      </w:r>
    </w:p>
    <w:p>
      <w:pPr>
        <w:spacing w:line="240" w:lineRule="auto"/>
        <w:ind w:firstLine="640" w:firstLineChars="200"/>
        <w:jc w:val="left"/>
        <w:rPr>
          <w:rFonts w:eastAsia="仿宋_GB2312"/>
          <w:sz w:val="32"/>
          <w:szCs w:val="32"/>
        </w:rPr>
      </w:pPr>
      <w:r>
        <w:rPr>
          <w:rFonts w:hint="eastAsia" w:eastAsia="仿宋_GB2312"/>
          <w:sz w:val="32"/>
          <w:szCs w:val="32"/>
          <w:lang w:val="zh-CN"/>
        </w:rPr>
        <w:t>政府性基金预算财政拨款支出616.48万元。</w:t>
      </w:r>
    </w:p>
    <w:p>
      <w:pPr>
        <w:spacing w:line="240" w:lineRule="auto"/>
        <w:ind w:firstLine="640" w:firstLineChars="200"/>
        <w:jc w:val="left"/>
        <w:rPr>
          <w:rFonts w:eastAsia="仿宋_GB2312"/>
          <w:sz w:val="32"/>
          <w:szCs w:val="32"/>
          <w:lang w:val="zh-CN"/>
        </w:rPr>
      </w:pPr>
      <w:r>
        <w:rPr>
          <w:rFonts w:hint="eastAsia" w:eastAsia="仿宋_GB2312"/>
          <w:sz w:val="32"/>
          <w:szCs w:val="32"/>
          <w:lang w:val="zh-CN"/>
        </w:rPr>
        <w:t>1.其他支出（类）彩票公益金安排的支出（款）用于体育事业的彩票公益金支出（项）:支出决算数为108.48</w:t>
      </w:r>
      <w:r>
        <w:rPr>
          <w:rFonts w:hint="eastAsia" w:eastAsia="仿宋_GB2312"/>
          <w:sz w:val="32"/>
          <w:szCs w:val="32"/>
        </w:rPr>
        <w:t>万元</w:t>
      </w:r>
      <w:r>
        <w:rPr>
          <w:rFonts w:hint="eastAsia" w:eastAsia="仿宋_GB2312"/>
          <w:sz w:val="32"/>
          <w:szCs w:val="32"/>
          <w:lang w:val="zh-CN"/>
        </w:rPr>
        <w:t>，比上年决算</w:t>
      </w:r>
      <w:r>
        <w:rPr>
          <w:rFonts w:hint="eastAsia" w:eastAsia="仿宋_GB2312"/>
          <w:sz w:val="32"/>
          <w:szCs w:val="32"/>
        </w:rPr>
        <w:t>增加</w:t>
      </w:r>
      <w:r>
        <w:rPr>
          <w:rFonts w:hint="eastAsia" w:eastAsia="仿宋_GB2312"/>
          <w:sz w:val="32"/>
          <w:szCs w:val="32"/>
          <w:lang w:val="zh-CN"/>
        </w:rPr>
        <w:t>96.07</w:t>
      </w:r>
      <w:r>
        <w:rPr>
          <w:rFonts w:hint="eastAsia" w:eastAsia="仿宋_GB2312"/>
          <w:sz w:val="32"/>
          <w:szCs w:val="32"/>
        </w:rPr>
        <w:t>万元</w:t>
      </w:r>
      <w:r>
        <w:rPr>
          <w:rFonts w:hint="eastAsia" w:eastAsia="仿宋_GB2312"/>
          <w:sz w:val="32"/>
          <w:szCs w:val="32"/>
          <w:lang w:val="zh-CN"/>
        </w:rPr>
        <w:t>，</w:t>
      </w:r>
      <w:r>
        <w:rPr>
          <w:rFonts w:hint="eastAsia" w:eastAsia="仿宋_GB2312"/>
          <w:sz w:val="32"/>
          <w:szCs w:val="32"/>
        </w:rPr>
        <w:t>增长</w:t>
      </w:r>
      <w:r>
        <w:rPr>
          <w:rFonts w:hint="eastAsia" w:eastAsia="仿宋_GB2312"/>
          <w:sz w:val="32"/>
          <w:szCs w:val="32"/>
          <w:lang w:val="zh-CN"/>
        </w:rPr>
        <w:t>774.21%，主要原因是：</w:t>
      </w:r>
      <w:r>
        <w:rPr>
          <w:rFonts w:hint="eastAsia" w:eastAsia="仿宋_GB2312"/>
          <w:sz w:val="32"/>
          <w:szCs w:val="32"/>
        </w:rPr>
        <w:t>本年新增基础设施建设项目资金</w:t>
      </w:r>
      <w:r>
        <w:rPr>
          <w:rFonts w:hint="eastAsia" w:eastAsia="仿宋_GB2312"/>
          <w:sz w:val="32"/>
          <w:szCs w:val="32"/>
          <w:lang w:val="zh-CN"/>
        </w:rPr>
        <w:t>。</w:t>
      </w:r>
    </w:p>
    <w:p>
      <w:pPr>
        <w:spacing w:line="240" w:lineRule="auto"/>
        <w:ind w:firstLine="640" w:firstLineChars="200"/>
        <w:jc w:val="left"/>
        <w:rPr>
          <w:rFonts w:eastAsia="仿宋_GB2312"/>
          <w:sz w:val="32"/>
          <w:szCs w:val="32"/>
          <w:lang w:val="zh-CN"/>
        </w:rPr>
      </w:pPr>
      <w:r>
        <w:rPr>
          <w:rFonts w:hint="eastAsia" w:eastAsia="仿宋_GB2312"/>
          <w:sz w:val="32"/>
          <w:szCs w:val="32"/>
          <w:lang w:val="zh-CN"/>
        </w:rPr>
        <w:t>2.其他支出（类）彩票公益金安排的支出（款）用于文化事业的彩票公益金支出（项）:支出决算数为8.00</w:t>
      </w:r>
      <w:r>
        <w:rPr>
          <w:rFonts w:hint="eastAsia" w:eastAsia="仿宋_GB2312"/>
          <w:sz w:val="32"/>
          <w:szCs w:val="32"/>
        </w:rPr>
        <w:t>万元</w:t>
      </w:r>
      <w:r>
        <w:rPr>
          <w:rFonts w:hint="eastAsia" w:eastAsia="仿宋_GB2312"/>
          <w:sz w:val="32"/>
          <w:szCs w:val="32"/>
          <w:lang w:val="zh-CN"/>
        </w:rPr>
        <w:t>，比上年决算</w:t>
      </w:r>
      <w:r>
        <w:rPr>
          <w:rFonts w:hint="eastAsia" w:eastAsia="仿宋_GB2312"/>
          <w:sz w:val="32"/>
          <w:szCs w:val="32"/>
        </w:rPr>
        <w:t>增加</w:t>
      </w:r>
      <w:r>
        <w:rPr>
          <w:rFonts w:hint="eastAsia" w:eastAsia="仿宋_GB2312"/>
          <w:sz w:val="32"/>
          <w:szCs w:val="32"/>
          <w:lang w:val="zh-CN"/>
        </w:rPr>
        <w:t>8.00</w:t>
      </w:r>
      <w:r>
        <w:rPr>
          <w:rFonts w:hint="eastAsia" w:eastAsia="仿宋_GB2312"/>
          <w:sz w:val="32"/>
          <w:szCs w:val="32"/>
        </w:rPr>
        <w:t>万元</w:t>
      </w:r>
      <w:r>
        <w:rPr>
          <w:rFonts w:hint="eastAsia" w:eastAsia="仿宋_GB2312"/>
          <w:sz w:val="32"/>
          <w:szCs w:val="32"/>
          <w:lang w:val="zh-CN"/>
        </w:rPr>
        <w:t>，</w:t>
      </w:r>
      <w:r>
        <w:rPr>
          <w:rFonts w:hint="eastAsia" w:eastAsia="仿宋_GB2312"/>
          <w:sz w:val="32"/>
          <w:szCs w:val="32"/>
        </w:rPr>
        <w:t>增长</w:t>
      </w:r>
      <w:r>
        <w:rPr>
          <w:rFonts w:hint="eastAsia" w:eastAsia="仿宋_GB2312"/>
          <w:sz w:val="32"/>
          <w:szCs w:val="32"/>
          <w:lang w:val="zh-CN"/>
        </w:rPr>
        <w:t>100%，主要原因是：</w:t>
      </w:r>
      <w:r>
        <w:rPr>
          <w:rFonts w:hint="eastAsia" w:eastAsia="仿宋_GB2312"/>
          <w:sz w:val="32"/>
          <w:szCs w:val="32"/>
        </w:rPr>
        <w:t>本年新增彩票公益金项目</w:t>
      </w:r>
      <w:r>
        <w:rPr>
          <w:rFonts w:hint="eastAsia" w:eastAsia="仿宋_GB2312"/>
          <w:sz w:val="32"/>
          <w:szCs w:val="32"/>
          <w:lang w:val="zh-CN"/>
        </w:rPr>
        <w:t>。</w:t>
      </w:r>
    </w:p>
    <w:p>
      <w:pPr>
        <w:spacing w:line="240" w:lineRule="auto"/>
        <w:ind w:firstLine="640" w:firstLineChars="200"/>
        <w:jc w:val="left"/>
        <w:rPr>
          <w:rFonts w:eastAsia="仿宋_GB2312"/>
          <w:sz w:val="32"/>
          <w:szCs w:val="32"/>
          <w:lang w:val="zh-CN"/>
        </w:rPr>
      </w:pPr>
      <w:r>
        <w:rPr>
          <w:rFonts w:hint="eastAsia" w:eastAsia="仿宋_GB2312"/>
          <w:sz w:val="32"/>
          <w:szCs w:val="32"/>
          <w:lang w:val="zh-CN"/>
        </w:rPr>
        <w:t>3.其他支出（类）其他政府性基金及对应专项债务收入安排的支出（款）其他地方自行试点项目收益专项债券收入安排的支出（项）:支出决算数为500.00</w:t>
      </w:r>
      <w:r>
        <w:rPr>
          <w:rFonts w:hint="eastAsia" w:eastAsia="仿宋_GB2312"/>
          <w:sz w:val="32"/>
          <w:szCs w:val="32"/>
        </w:rPr>
        <w:t>万元</w:t>
      </w:r>
      <w:r>
        <w:rPr>
          <w:rFonts w:hint="eastAsia" w:eastAsia="仿宋_GB2312"/>
          <w:sz w:val="32"/>
          <w:szCs w:val="32"/>
          <w:lang w:val="zh-CN"/>
        </w:rPr>
        <w:t>，比上年决算</w:t>
      </w:r>
      <w:r>
        <w:rPr>
          <w:rFonts w:hint="eastAsia" w:eastAsia="仿宋_GB2312"/>
          <w:sz w:val="32"/>
          <w:szCs w:val="32"/>
        </w:rPr>
        <w:t>减少</w:t>
      </w:r>
      <w:r>
        <w:rPr>
          <w:rFonts w:hint="eastAsia" w:eastAsia="仿宋_GB2312"/>
          <w:sz w:val="32"/>
          <w:szCs w:val="32"/>
          <w:lang w:val="zh-CN"/>
        </w:rPr>
        <w:t>1,000.00</w:t>
      </w:r>
      <w:r>
        <w:rPr>
          <w:rFonts w:hint="eastAsia" w:eastAsia="仿宋_GB2312"/>
          <w:sz w:val="32"/>
          <w:szCs w:val="32"/>
        </w:rPr>
        <w:t>万元</w:t>
      </w:r>
      <w:r>
        <w:rPr>
          <w:rFonts w:hint="eastAsia" w:eastAsia="仿宋_GB2312"/>
          <w:sz w:val="32"/>
          <w:szCs w:val="32"/>
          <w:lang w:val="zh-CN"/>
        </w:rPr>
        <w:t>，</w:t>
      </w:r>
      <w:r>
        <w:rPr>
          <w:rFonts w:hint="eastAsia" w:eastAsia="仿宋_GB2312"/>
          <w:sz w:val="32"/>
          <w:szCs w:val="32"/>
        </w:rPr>
        <w:t>下降</w:t>
      </w:r>
      <w:r>
        <w:rPr>
          <w:rFonts w:hint="eastAsia" w:eastAsia="仿宋_GB2312"/>
          <w:sz w:val="32"/>
          <w:szCs w:val="32"/>
          <w:lang w:val="zh-CN"/>
        </w:rPr>
        <w:t>66.67%，主要原因是：</w:t>
      </w:r>
      <w:r>
        <w:rPr>
          <w:rFonts w:hint="eastAsia" w:eastAsia="仿宋_GB2312"/>
          <w:sz w:val="32"/>
          <w:szCs w:val="32"/>
        </w:rPr>
        <w:t>本年减少政府性基金债券项目资金</w:t>
      </w:r>
      <w:r>
        <w:rPr>
          <w:rFonts w:hint="eastAsia" w:eastAsia="仿宋_GB2312"/>
          <w:sz w:val="32"/>
          <w:szCs w:val="32"/>
          <w:lang w:val="zh-CN"/>
        </w:rPr>
        <w:t>。</w:t>
      </w:r>
    </w:p>
    <w:p>
      <w:pPr>
        <w:spacing w:line="240" w:lineRule="auto"/>
        <w:ind w:firstLine="640" w:firstLineChars="200"/>
        <w:jc w:val="left"/>
        <w:rPr>
          <w:rFonts w:eastAsia="仿宋_GB2312"/>
          <w:sz w:val="32"/>
          <w:szCs w:val="32"/>
          <w:lang w:val="zh-CN"/>
        </w:rPr>
      </w:pPr>
      <w:r>
        <w:rPr>
          <w:rFonts w:hint="eastAsia" w:eastAsia="仿宋_GB2312"/>
          <w:sz w:val="32"/>
          <w:szCs w:val="32"/>
          <w:lang w:val="zh-CN"/>
        </w:rPr>
        <w:t>4.城乡社区支出（类）国有土地使用权出让收入安排的支出（款）征地和拆迁补偿支出（项）:支出决算数为0.00</w:t>
      </w:r>
      <w:r>
        <w:rPr>
          <w:rFonts w:hint="eastAsia" w:eastAsia="仿宋_GB2312"/>
          <w:sz w:val="32"/>
          <w:szCs w:val="32"/>
        </w:rPr>
        <w:t>万元</w:t>
      </w:r>
      <w:r>
        <w:rPr>
          <w:rFonts w:hint="eastAsia" w:eastAsia="仿宋_GB2312"/>
          <w:sz w:val="32"/>
          <w:szCs w:val="32"/>
          <w:lang w:val="zh-CN"/>
        </w:rPr>
        <w:t>，比上年决算</w:t>
      </w:r>
      <w:r>
        <w:rPr>
          <w:rFonts w:hint="eastAsia" w:eastAsia="仿宋_GB2312"/>
          <w:sz w:val="32"/>
          <w:szCs w:val="32"/>
        </w:rPr>
        <w:t>减少</w:t>
      </w:r>
      <w:r>
        <w:rPr>
          <w:rFonts w:hint="eastAsia" w:eastAsia="仿宋_GB2312"/>
          <w:sz w:val="32"/>
          <w:szCs w:val="32"/>
          <w:lang w:val="zh-CN"/>
        </w:rPr>
        <w:t>150.28</w:t>
      </w:r>
      <w:r>
        <w:rPr>
          <w:rFonts w:hint="eastAsia" w:eastAsia="仿宋_GB2312"/>
          <w:sz w:val="32"/>
          <w:szCs w:val="32"/>
        </w:rPr>
        <w:t>万元</w:t>
      </w:r>
      <w:r>
        <w:rPr>
          <w:rFonts w:hint="eastAsia" w:eastAsia="仿宋_GB2312"/>
          <w:sz w:val="32"/>
          <w:szCs w:val="32"/>
          <w:lang w:val="zh-CN"/>
        </w:rPr>
        <w:t>，</w:t>
      </w:r>
      <w:r>
        <w:rPr>
          <w:rFonts w:hint="eastAsia" w:eastAsia="仿宋_GB2312"/>
          <w:sz w:val="32"/>
          <w:szCs w:val="32"/>
        </w:rPr>
        <w:t>下降</w:t>
      </w:r>
      <w:r>
        <w:rPr>
          <w:rFonts w:hint="eastAsia" w:eastAsia="仿宋_GB2312"/>
          <w:sz w:val="32"/>
          <w:szCs w:val="32"/>
          <w:lang w:val="zh-CN"/>
        </w:rPr>
        <w:t>100%，主要原因是：</w:t>
      </w:r>
      <w:r>
        <w:rPr>
          <w:rFonts w:hint="eastAsia" w:eastAsia="仿宋_GB2312"/>
          <w:sz w:val="32"/>
          <w:szCs w:val="32"/>
        </w:rPr>
        <w:t>本年无此类项目资金发生</w:t>
      </w:r>
      <w:r>
        <w:rPr>
          <w:rFonts w:hint="eastAsia" w:eastAsia="仿宋_GB2312"/>
          <w:sz w:val="32"/>
          <w:szCs w:val="32"/>
          <w:lang w:val="zh-CN"/>
        </w:rPr>
        <w:t>。</w:t>
      </w:r>
    </w:p>
    <w:p>
      <w:pPr>
        <w:spacing w:line="240" w:lineRule="auto"/>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spacing w:line="240" w:lineRule="auto"/>
        <w:ind w:firstLine="640" w:firstLineChars="200"/>
        <w:jc w:val="left"/>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spacing w:line="240" w:lineRule="auto"/>
        <w:ind w:firstLine="640" w:firstLineChars="200"/>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pPr>
        <w:spacing w:line="240" w:lineRule="auto"/>
        <w:ind w:firstLine="640" w:firstLineChars="200"/>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pPr>
        <w:ind w:firstLine="640" w:firstLineChars="200"/>
        <w:rPr>
          <w:rFonts w:eastAsia="仿宋_GB2312"/>
          <w:sz w:val="32"/>
          <w:szCs w:val="32"/>
          <w:lang w:val="zh-CN"/>
        </w:rPr>
      </w:pPr>
      <w:bookmarkStart w:id="24" w:name="_Toc227"/>
      <w:bookmarkStart w:id="25" w:name="_Toc26704"/>
      <w:r>
        <w:rPr>
          <w:rFonts w:hint="eastAsia" w:eastAsia="仿宋_GB2312"/>
          <w:sz w:val="32"/>
          <w:szCs w:val="32"/>
          <w:lang w:val="zh-CN"/>
        </w:rPr>
        <w:t>2023年度</w:t>
      </w:r>
      <w:r>
        <w:rPr>
          <w:rFonts w:hint="eastAsia" w:eastAsia="仿宋_GB2312"/>
          <w:sz w:val="32"/>
          <w:szCs w:val="32"/>
        </w:rPr>
        <w:t>裕民县文化体育广播电视和旅游局（行政单位和参照公务员法管理事业单位）机关运行经费支出33.15万元，比上年减少20.26万元，下降37.94%，主要原因是：全年取暖费及三支一扶经费减少。</w:t>
      </w:r>
    </w:p>
    <w:p>
      <w:pPr>
        <w:spacing w:line="240" w:lineRule="auto"/>
        <w:ind w:firstLine="640" w:firstLineChars="200"/>
        <w:outlineLvl w:val="2"/>
        <w:rPr>
          <w:rFonts w:eastAsia="黑体"/>
          <w:sz w:val="32"/>
          <w:szCs w:val="30"/>
          <w:lang w:val="zh-CN"/>
        </w:rPr>
      </w:pPr>
      <w:r>
        <w:rPr>
          <w:rFonts w:hint="eastAsia" w:eastAsia="黑体"/>
          <w:sz w:val="32"/>
          <w:szCs w:val="30"/>
          <w:lang w:val="zh-CN"/>
        </w:rPr>
        <w:t>（二）政府采购情况</w:t>
      </w:r>
      <w:bookmarkEnd w:id="24"/>
      <w:bookmarkEnd w:id="25"/>
    </w:p>
    <w:p>
      <w:pPr>
        <w:spacing w:line="240" w:lineRule="auto"/>
        <w:ind w:firstLine="640" w:firstLineChars="200"/>
        <w:jc w:val="left"/>
        <w:rPr>
          <w:rFonts w:eastAsia="仿宋_GB2312"/>
          <w:sz w:val="32"/>
          <w:szCs w:val="32"/>
          <w:lang w:val="zh-CN"/>
        </w:rPr>
      </w:pPr>
      <w:r>
        <w:rPr>
          <w:rFonts w:hint="eastAsia" w:eastAsia="仿宋_GB2312"/>
          <w:sz w:val="32"/>
          <w:szCs w:val="32"/>
          <w:lang w:val="zh-CN"/>
        </w:rPr>
        <w:t>2023年度政府采购支出总额49.17万元，其中：政府采购货物支出31.79万元、政府采购工程支出0.00万元、政府采购服务支出17.37万元。</w:t>
      </w:r>
    </w:p>
    <w:p>
      <w:pPr>
        <w:spacing w:line="240" w:lineRule="auto"/>
        <w:ind w:firstLine="640" w:firstLineChars="200"/>
        <w:jc w:val="left"/>
        <w:rPr>
          <w:rFonts w:eastAsia="仿宋_GB2312"/>
          <w:sz w:val="32"/>
          <w:szCs w:val="32"/>
        </w:rPr>
      </w:pPr>
      <w:r>
        <w:rPr>
          <w:rFonts w:hint="eastAsia" w:eastAsia="仿宋_GB2312"/>
          <w:sz w:val="32"/>
          <w:szCs w:val="32"/>
          <w:lang w:val="zh-CN"/>
        </w:rPr>
        <w:t>授予中小企业合同金额49.17万元，占政府采购支出总额的100.00</w:t>
      </w:r>
      <w:r>
        <w:rPr>
          <w:rFonts w:eastAsia="仿宋_GB2312"/>
          <w:sz w:val="32"/>
          <w:szCs w:val="32"/>
          <w:lang w:val="zh-CN"/>
        </w:rPr>
        <w:t>%</w:t>
      </w:r>
      <w:r>
        <w:rPr>
          <w:rFonts w:hint="eastAsia" w:eastAsia="仿宋_GB2312"/>
          <w:sz w:val="32"/>
          <w:szCs w:val="32"/>
          <w:lang w:val="zh-CN"/>
        </w:rPr>
        <w:t>，其中：授予小微企业合同金额49.17万元，占政府采购支出总额的100.00</w:t>
      </w:r>
      <w:r>
        <w:rPr>
          <w:rFonts w:eastAsia="仿宋_GB2312"/>
          <w:sz w:val="32"/>
          <w:szCs w:val="32"/>
          <w:lang w:val="zh-CN"/>
        </w:rPr>
        <w:t>%</w:t>
      </w:r>
      <w:r>
        <w:rPr>
          <w:rFonts w:hint="eastAsia" w:eastAsia="仿宋_GB2312"/>
          <w:sz w:val="32"/>
          <w:szCs w:val="32"/>
        </w:rPr>
        <w:t>。</w:t>
      </w:r>
    </w:p>
    <w:p>
      <w:pPr>
        <w:spacing w:line="240" w:lineRule="auto"/>
        <w:ind w:firstLine="640" w:firstLineChars="200"/>
        <w:outlineLvl w:val="2"/>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pPr>
        <w:spacing w:line="240" w:lineRule="auto"/>
        <w:ind w:firstLine="640" w:firstLineChars="200"/>
        <w:jc w:val="left"/>
        <w:rPr>
          <w:rFonts w:eastAsia="仿宋_GB2312"/>
          <w:sz w:val="32"/>
          <w:szCs w:val="32"/>
          <w:lang w:val="zh-CN"/>
        </w:rPr>
      </w:pPr>
      <w:r>
        <w:rPr>
          <w:rFonts w:hint="eastAsia" w:eastAsia="仿宋_GB2312"/>
          <w:sz w:val="32"/>
          <w:szCs w:val="32"/>
        </w:rPr>
        <w:t>截至2023</w:t>
      </w:r>
      <w:r>
        <w:rPr>
          <w:rFonts w:hint="eastAsia" w:eastAsia="仿宋_GB2312"/>
          <w:sz w:val="32"/>
          <w:szCs w:val="32"/>
          <w:lang w:val="zh-CN"/>
        </w:rPr>
        <w:t>年</w:t>
      </w:r>
      <w:r>
        <w:rPr>
          <w:rFonts w:hint="eastAsia" w:eastAsia="仿宋_GB2312"/>
          <w:sz w:val="32"/>
          <w:szCs w:val="32"/>
        </w:rPr>
        <w:t>12月31日</w:t>
      </w:r>
      <w:r>
        <w:rPr>
          <w:rFonts w:hint="eastAsia" w:eastAsia="仿宋_GB2312"/>
          <w:sz w:val="32"/>
          <w:szCs w:val="32"/>
          <w:lang w:val="zh-CN"/>
        </w:rPr>
        <w:t>，</w:t>
      </w:r>
      <w:r>
        <w:rPr>
          <w:rFonts w:hint="eastAsia" w:eastAsia="仿宋_GB2312"/>
          <w:sz w:val="32"/>
          <w:szCs w:val="32"/>
        </w:rPr>
        <w:t>固定资产原值</w:t>
      </w:r>
      <w:r>
        <w:rPr>
          <w:rFonts w:hint="eastAsia" w:eastAsia="仿宋_GB2312"/>
          <w:sz w:val="32"/>
          <w:szCs w:val="32"/>
          <w:lang w:val="zh-CN"/>
        </w:rPr>
        <w:t>4,024.53</w:t>
      </w:r>
      <w:r>
        <w:rPr>
          <w:rFonts w:hint="eastAsia" w:eastAsia="仿宋_GB2312"/>
          <w:sz w:val="32"/>
          <w:szCs w:val="32"/>
        </w:rPr>
        <w:t>万元，房</w:t>
      </w:r>
      <w:r>
        <w:rPr>
          <w:rFonts w:hint="eastAsia" w:eastAsia="仿宋_GB2312"/>
          <w:sz w:val="32"/>
          <w:szCs w:val="32"/>
          <w:lang w:val="zh-CN"/>
        </w:rPr>
        <w:t>屋20863.83平方米，价值2,260.39万元。车辆10辆，价值418.27万元，其中：副部（省）级及以上领导用车0辆、主要</w:t>
      </w:r>
      <w:r>
        <w:rPr>
          <w:rFonts w:hint="eastAsia" w:eastAsia="仿宋_GB2312"/>
          <w:sz w:val="32"/>
          <w:szCs w:val="32"/>
        </w:rPr>
        <w:t>负责人</w:t>
      </w:r>
      <w:r>
        <w:rPr>
          <w:rFonts w:hint="eastAsia" w:eastAsia="仿宋_GB2312"/>
          <w:sz w:val="32"/>
          <w:szCs w:val="32"/>
          <w:lang w:val="zh-CN"/>
        </w:rPr>
        <w:t>用车0辆、机要通信用车0辆、应急保障用车0辆、执法执勤用车1辆、特种专业技术用车0辆、离退休干部</w:t>
      </w:r>
      <w:r>
        <w:rPr>
          <w:rFonts w:hint="eastAsia" w:eastAsia="仿宋_GB2312"/>
          <w:sz w:val="32"/>
          <w:szCs w:val="32"/>
        </w:rPr>
        <w:t>服务</w:t>
      </w:r>
      <w:r>
        <w:rPr>
          <w:rFonts w:hint="eastAsia" w:eastAsia="仿宋_GB2312"/>
          <w:sz w:val="32"/>
          <w:szCs w:val="32"/>
          <w:lang w:val="zh-CN"/>
        </w:rPr>
        <w:t>用车0辆、其他用车9辆，其他用车主要是：</w:t>
      </w:r>
      <w:r>
        <w:rPr>
          <w:rFonts w:hint="eastAsia" w:eastAsia="仿宋_GB2312"/>
          <w:sz w:val="32"/>
          <w:szCs w:val="32"/>
        </w:rPr>
        <w:t>垃圾运输车、村村通维修车、舞台车、雪地摩托</w:t>
      </w:r>
      <w:r>
        <w:rPr>
          <w:rFonts w:hint="eastAsia" w:eastAsia="仿宋_GB2312"/>
          <w:sz w:val="32"/>
          <w:szCs w:val="32"/>
          <w:lang w:val="zh-CN"/>
        </w:rPr>
        <w:t>；单价100万元（含）以上设备（不含车辆）0</w:t>
      </w:r>
      <w:r>
        <w:rPr>
          <w:rFonts w:hint="eastAsia" w:eastAsia="仿宋_GB2312"/>
          <w:sz w:val="32"/>
          <w:szCs w:val="32"/>
        </w:rPr>
        <w:t>台</w:t>
      </w:r>
      <w:r>
        <w:rPr>
          <w:rFonts w:hint="eastAsia" w:eastAsia="仿宋_GB2312"/>
          <w:sz w:val="32"/>
          <w:szCs w:val="32"/>
          <w:lang w:val="zh-CN"/>
        </w:rPr>
        <w:t>。</w:t>
      </w:r>
    </w:p>
    <w:p>
      <w:pPr>
        <w:spacing w:line="240" w:lineRule="auto"/>
        <w:ind w:firstLine="640" w:firstLineChars="200"/>
        <w:jc w:val="left"/>
        <w:outlineLvl w:val="1"/>
        <w:rPr>
          <w:rFonts w:hint="eastAsia"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pPr>
        <w:spacing w:line="240" w:lineRule="auto"/>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hint="eastAsia" w:ascii="仿宋_GB2312" w:eastAsia="仿宋_GB2312"/>
          <w:sz w:val="32"/>
          <w:szCs w:val="32"/>
          <w:lang w:val="en-US" w:eastAsia="zh-CN"/>
        </w:rPr>
        <w:t>3067.97</w:t>
      </w:r>
      <w:r>
        <w:rPr>
          <w:rFonts w:hint="eastAsia" w:ascii="仿宋_GB2312" w:eastAsia="仿宋_GB2312"/>
          <w:sz w:val="32"/>
          <w:szCs w:val="32"/>
        </w:rPr>
        <w:t>万元，实际执行总额</w:t>
      </w:r>
      <w:r>
        <w:rPr>
          <w:rFonts w:hint="eastAsia" w:ascii="仿宋_GB2312" w:eastAsia="仿宋_GB2312"/>
          <w:sz w:val="32"/>
          <w:szCs w:val="32"/>
          <w:lang w:val="en-US" w:eastAsia="zh-CN"/>
        </w:rPr>
        <w:t>3062.3</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预算绩效评价项目12个，全年预算数1200.17万元，全年执行数1200.17万元；线下项目4个，全年预算数</w:t>
      </w:r>
      <w:r>
        <w:rPr>
          <w:rFonts w:hint="eastAsia" w:ascii="仿宋_GB2312" w:eastAsia="仿宋_GB2312"/>
          <w:sz w:val="32"/>
          <w:szCs w:val="32"/>
          <w:lang w:val="en-US" w:eastAsia="zh-CN"/>
        </w:rPr>
        <w:t>1540.6</w:t>
      </w:r>
      <w:r>
        <w:rPr>
          <w:rFonts w:hint="eastAsia" w:ascii="仿宋_GB2312" w:eastAsia="仿宋_GB2312"/>
          <w:sz w:val="32"/>
          <w:szCs w:val="32"/>
        </w:rPr>
        <w:t>万元，全年执行数1534.93万元；涉密项目2个，全年预算数327.19万元，全年执行数327.19万元。预算绩效管理取得的成效：一是绩效运行监控得到良好发挥，确保预期目标得到如期实现；二是加强绩效目标管理，预算编制要结合实际，实事求是，使项目部门设置和单位整体绩效更加合理化。发现的问题及原因：一是专项资金执行缓慢，影响资金执行率；二是景区项目大部分处于山区，项目进度受环境影响较大。下一步改进措施：一是加快资金申请进度，提高资金执行率，严格按照专项资金使用规范，确保资金使用合理、合法、合规；二是在有限的施工时间范围内，在加快施工质量的前提下，加快项目施工进度，提高资金执行率。具体项目自评情况附绩效自评表及自评报告。</w:t>
      </w:r>
    </w:p>
    <w:p>
      <w:pPr>
        <w:spacing w:line="240" w:lineRule="auto"/>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spacing w:line="240" w:lineRule="auto"/>
        <w:ind w:firstLine="640" w:firstLineChars="200"/>
        <w:jc w:val="left"/>
        <w:rPr>
          <w:rFonts w:hint="eastAsia" w:ascii="仿宋_GB2312" w:hAnsi="仿宋_GB2312" w:eastAsia="仿宋_GB2312" w:cs="仿宋_GB2312"/>
          <w:b/>
          <w:bCs/>
          <w:kern w:val="0"/>
          <w:sz w:val="32"/>
          <w:szCs w:val="32"/>
          <w:lang w:eastAsia="zh-Hans"/>
        </w:rPr>
      </w:pPr>
      <w:r>
        <w:rPr>
          <w:rFonts w:hint="eastAsia" w:ascii="仿宋_GB2312" w:eastAsia="仿宋_GB2312"/>
          <w:sz w:val="32"/>
          <w:szCs w:val="32"/>
        </w:rPr>
        <w:t>本单位涉密项目</w:t>
      </w:r>
      <w:r>
        <w:rPr>
          <w:rFonts w:hint="eastAsia" w:ascii="仿宋_GB2312" w:eastAsia="仿宋_GB2312"/>
          <w:sz w:val="32"/>
          <w:szCs w:val="32"/>
          <w:lang w:val="en-US" w:eastAsia="zh-CN"/>
        </w:rPr>
        <w:t>2个，</w:t>
      </w:r>
      <w:bookmarkStart w:id="48" w:name="_GoBack"/>
      <w:bookmarkEnd w:id="48"/>
      <w:r>
        <w:rPr>
          <w:rFonts w:hint="eastAsia" w:ascii="仿宋_GB2312" w:eastAsia="仿宋_GB2312"/>
          <w:sz w:val="32"/>
          <w:szCs w:val="32"/>
        </w:rPr>
        <w:t>涉及金额327.19万元。</w:t>
      </w:r>
    </w:p>
    <w:p>
      <w:pPr>
        <w:spacing w:line="240" w:lineRule="auto"/>
        <w:ind w:firstLine="643" w:firstLineChars="200"/>
        <w:jc w:val="left"/>
        <w:rPr>
          <w:rFonts w:hint="eastAsia" w:ascii="仿宋_GB2312" w:hAnsi="仿宋_GB2312" w:eastAsia="仿宋_GB2312" w:cs="仿宋_GB2312"/>
          <w:b/>
          <w:bCs/>
          <w:kern w:val="0"/>
          <w:sz w:val="32"/>
          <w:szCs w:val="32"/>
          <w:lang w:eastAsia="zh-Hans"/>
        </w:rPr>
      </w:pPr>
    </w:p>
    <w:p>
      <w:pPr>
        <w:spacing w:line="240" w:lineRule="auto"/>
        <w:jc w:val="center"/>
        <w:outlineLvl w:val="0"/>
        <w:rPr>
          <w:rFonts w:hint="eastAsia" w:ascii="黑体" w:hAnsi="黑体" w:eastAsia="黑体"/>
          <w:sz w:val="32"/>
          <w:szCs w:val="32"/>
        </w:rPr>
      </w:pPr>
      <w:bookmarkStart w:id="30" w:name="_Toc24143"/>
      <w:bookmarkStart w:id="31"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pPr>
        <w:autoSpaceDE w:val="0"/>
        <w:autoSpaceDN w:val="0"/>
        <w:spacing w:line="240" w:lineRule="auto"/>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spacing w:line="240" w:lineRule="auto"/>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spacing w:line="240" w:lineRule="auto"/>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spacing w:line="240" w:lineRule="auto"/>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spacing w:line="240" w:lineRule="auto"/>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spacing w:line="240" w:lineRule="auto"/>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spacing w:line="240" w:lineRule="auto"/>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240" w:lineRule="auto"/>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240" w:lineRule="auto"/>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spacing w:line="240" w:lineRule="auto"/>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spacing w:line="240" w:lineRule="auto"/>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spacing w:line="240" w:lineRule="auto"/>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spacing w:line="240" w:lineRule="auto"/>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spacing w:line="240" w:lineRule="auto"/>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spacing w:line="240" w:lineRule="auto"/>
        <w:ind w:firstLine="640" w:firstLineChars="200"/>
        <w:outlineLvl w:val="1"/>
        <w:rPr>
          <w:rFonts w:hint="eastAsia" w:ascii="黑体" w:hAnsi="黑体" w:eastAsia="仿宋_GB2312" w:cs="宋体"/>
          <w:bCs/>
          <w:kern w:val="0"/>
          <w:sz w:val="32"/>
          <w:szCs w:val="32"/>
        </w:rPr>
      </w:pPr>
      <w:bookmarkStart w:id="32" w:name="_Toc6062"/>
      <w:bookmarkStart w:id="33" w:name="_Toc2183"/>
      <w:r>
        <w:rPr>
          <w:rFonts w:hint="eastAsia" w:ascii="黑体" w:hAnsi="黑体" w:eastAsia="仿宋_GB2312" w:cs="宋体"/>
          <w:bCs/>
          <w:kern w:val="0"/>
          <w:sz w:val="32"/>
          <w:szCs w:val="32"/>
        </w:rPr>
        <w:t>一、《收入支出决算总表》</w:t>
      </w:r>
      <w:bookmarkEnd w:id="32"/>
      <w:bookmarkEnd w:id="33"/>
    </w:p>
    <w:p>
      <w:pPr>
        <w:spacing w:line="240" w:lineRule="auto"/>
        <w:ind w:firstLine="640" w:firstLineChars="200"/>
        <w:outlineLvl w:val="1"/>
        <w:rPr>
          <w:rFonts w:hint="eastAsia" w:ascii="黑体" w:hAnsi="黑体" w:eastAsia="仿宋_GB2312" w:cs="宋体"/>
          <w:bCs/>
          <w:kern w:val="0"/>
          <w:sz w:val="32"/>
          <w:szCs w:val="32"/>
        </w:rPr>
      </w:pPr>
      <w:bookmarkStart w:id="34" w:name="_Toc24532"/>
      <w:bookmarkStart w:id="35" w:name="_Toc30364"/>
      <w:r>
        <w:rPr>
          <w:rFonts w:hint="eastAsia" w:ascii="黑体" w:hAnsi="黑体" w:eastAsia="仿宋_GB2312" w:cs="宋体"/>
          <w:bCs/>
          <w:kern w:val="0"/>
          <w:sz w:val="32"/>
          <w:szCs w:val="32"/>
        </w:rPr>
        <w:t>二、《收入决算表》</w:t>
      </w:r>
      <w:bookmarkEnd w:id="34"/>
      <w:bookmarkEnd w:id="35"/>
    </w:p>
    <w:p>
      <w:pPr>
        <w:spacing w:line="240" w:lineRule="auto"/>
        <w:ind w:firstLine="640" w:firstLineChars="200"/>
        <w:outlineLvl w:val="1"/>
        <w:rPr>
          <w:rFonts w:hint="eastAsia" w:ascii="黑体" w:hAnsi="黑体" w:eastAsia="仿宋_GB2312" w:cs="宋体"/>
          <w:bCs/>
          <w:kern w:val="0"/>
          <w:sz w:val="32"/>
          <w:szCs w:val="32"/>
        </w:rPr>
      </w:pPr>
      <w:bookmarkStart w:id="36" w:name="_Toc21304"/>
      <w:bookmarkStart w:id="37" w:name="_Toc32434"/>
      <w:r>
        <w:rPr>
          <w:rFonts w:hint="eastAsia" w:ascii="黑体" w:hAnsi="黑体" w:eastAsia="仿宋_GB2312" w:cs="宋体"/>
          <w:bCs/>
          <w:kern w:val="0"/>
          <w:sz w:val="32"/>
          <w:szCs w:val="32"/>
        </w:rPr>
        <w:t>三、《支出决算表》</w:t>
      </w:r>
      <w:bookmarkEnd w:id="36"/>
      <w:bookmarkEnd w:id="37"/>
    </w:p>
    <w:p>
      <w:pPr>
        <w:spacing w:line="240" w:lineRule="auto"/>
        <w:ind w:firstLine="640" w:firstLineChars="200"/>
        <w:outlineLvl w:val="1"/>
        <w:rPr>
          <w:rFonts w:hint="eastAsia" w:ascii="黑体" w:hAnsi="黑体" w:eastAsia="仿宋_GB2312" w:cs="宋体"/>
          <w:bCs/>
          <w:kern w:val="0"/>
          <w:sz w:val="32"/>
          <w:szCs w:val="32"/>
        </w:rPr>
      </w:pPr>
      <w:bookmarkStart w:id="38" w:name="_Toc14238"/>
      <w:bookmarkStart w:id="39" w:name="_Toc28786"/>
      <w:r>
        <w:rPr>
          <w:rFonts w:hint="eastAsia" w:ascii="黑体" w:hAnsi="黑体" w:eastAsia="仿宋_GB2312" w:cs="宋体"/>
          <w:bCs/>
          <w:kern w:val="0"/>
          <w:sz w:val="32"/>
          <w:szCs w:val="32"/>
        </w:rPr>
        <w:t>四、《财政拨款收入支出决算总表》</w:t>
      </w:r>
      <w:bookmarkEnd w:id="38"/>
      <w:bookmarkEnd w:id="39"/>
    </w:p>
    <w:p>
      <w:pPr>
        <w:spacing w:line="240" w:lineRule="auto"/>
        <w:ind w:firstLine="640" w:firstLineChars="200"/>
        <w:outlineLvl w:val="1"/>
        <w:rPr>
          <w:rFonts w:hint="eastAsia" w:ascii="黑体" w:hAnsi="黑体" w:eastAsia="仿宋_GB2312" w:cs="宋体"/>
          <w:bCs/>
          <w:kern w:val="0"/>
          <w:sz w:val="32"/>
          <w:szCs w:val="32"/>
        </w:rPr>
      </w:pPr>
      <w:bookmarkStart w:id="40" w:name="_Toc10347"/>
      <w:bookmarkStart w:id="41" w:name="_Toc14869"/>
      <w:r>
        <w:rPr>
          <w:rFonts w:hint="eastAsia" w:ascii="黑体" w:hAnsi="黑体" w:eastAsia="仿宋_GB2312" w:cs="宋体"/>
          <w:bCs/>
          <w:kern w:val="0"/>
          <w:sz w:val="32"/>
          <w:szCs w:val="32"/>
        </w:rPr>
        <w:t>五、《一般公共预算财政拨款支出决算表》</w:t>
      </w:r>
      <w:bookmarkEnd w:id="40"/>
      <w:bookmarkEnd w:id="41"/>
    </w:p>
    <w:p>
      <w:pPr>
        <w:spacing w:line="240" w:lineRule="auto"/>
        <w:ind w:firstLine="640" w:firstLineChars="200"/>
        <w:outlineLvl w:val="1"/>
        <w:rPr>
          <w:rFonts w:hint="eastAsia" w:ascii="黑体" w:hAnsi="黑体" w:eastAsia="仿宋_GB2312" w:cs="宋体"/>
          <w:bCs/>
          <w:kern w:val="0"/>
          <w:sz w:val="32"/>
          <w:szCs w:val="32"/>
        </w:rPr>
      </w:pPr>
      <w:bookmarkStart w:id="42" w:name="_Toc8884"/>
      <w:bookmarkStart w:id="43" w:name="_Toc5626"/>
      <w:r>
        <w:rPr>
          <w:rFonts w:hint="eastAsia" w:ascii="黑体" w:hAnsi="黑体" w:eastAsia="仿宋_GB2312" w:cs="宋体"/>
          <w:bCs/>
          <w:kern w:val="0"/>
          <w:sz w:val="32"/>
          <w:szCs w:val="32"/>
        </w:rPr>
        <w:t>六、《一般公共预算财政拨款基本支出决算表》</w:t>
      </w:r>
      <w:bookmarkEnd w:id="42"/>
      <w:bookmarkEnd w:id="43"/>
    </w:p>
    <w:p>
      <w:pPr>
        <w:spacing w:line="240" w:lineRule="auto"/>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29106"/>
      <w:bookmarkStart w:id="45" w:name="_Toc32663"/>
      <w:r>
        <w:rPr>
          <w:rFonts w:hint="eastAsia" w:ascii="黑体" w:hAnsi="黑体" w:eastAsia="仿宋_GB2312" w:cs="宋体"/>
          <w:bCs/>
          <w:kern w:val="0"/>
          <w:sz w:val="32"/>
          <w:szCs w:val="32"/>
        </w:rPr>
        <w:t>《财政拨款“三公”经费支出决算表》</w:t>
      </w:r>
      <w:bookmarkEnd w:id="44"/>
      <w:bookmarkEnd w:id="45"/>
    </w:p>
    <w:p>
      <w:pPr>
        <w:spacing w:line="240" w:lineRule="auto"/>
        <w:ind w:firstLine="640" w:firstLineChars="200"/>
        <w:outlineLvl w:val="1"/>
        <w:rPr>
          <w:rFonts w:hint="eastAsia" w:ascii="黑体" w:hAnsi="黑体" w:eastAsia="仿宋_GB2312" w:cs="宋体"/>
          <w:bCs/>
          <w:kern w:val="0"/>
          <w:sz w:val="32"/>
          <w:szCs w:val="32"/>
        </w:rPr>
      </w:pPr>
      <w:bookmarkStart w:id="46" w:name="_Toc5453"/>
      <w:bookmarkStart w:id="47" w:name="_Toc7643"/>
      <w:r>
        <w:rPr>
          <w:rFonts w:hint="eastAsia" w:ascii="黑体" w:hAnsi="黑体" w:eastAsia="仿宋_GB2312" w:cs="宋体"/>
          <w:bCs/>
          <w:kern w:val="0"/>
          <w:sz w:val="32"/>
          <w:szCs w:val="32"/>
        </w:rPr>
        <w:t>八、《政府性基金预算财政拨款收入支出决算表》</w:t>
      </w:r>
      <w:bookmarkEnd w:id="46"/>
      <w:bookmarkEnd w:id="47"/>
    </w:p>
    <w:p>
      <w:pPr>
        <w:spacing w:line="240" w:lineRule="auto"/>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spacing w:line="240" w:lineRule="auto"/>
        <w:ind w:firstLine="640" w:firstLineChars="200"/>
        <w:rPr>
          <w:rFonts w:ascii="仿宋_GB2312" w:eastAsia="仿宋_GB2312"/>
          <w:sz w:val="32"/>
          <w:szCs w:val="32"/>
        </w:rPr>
      </w:pPr>
    </w:p>
    <w:p>
      <w:pPr>
        <w:spacing w:line="240" w:lineRule="auto"/>
        <w:ind w:firstLine="640" w:firstLineChars="200"/>
        <w:outlineLvl w:val="1"/>
        <w:rPr>
          <w:rFonts w:hint="eastAsia" w:ascii="黑体" w:hAnsi="黑体" w:eastAsia="黑体" w:cs="宋体"/>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mNjA3ZGUwYTEzOGFiNzg2MzI2ZjE3MDVlMzg5MDEifQ=="/>
    <w:docVar w:name="KSO_WPS_MARK_KEY" w:val="41ee2a61-2d54-4f93-83be-afdb9a40d732"/>
  </w:docVars>
  <w:rsids>
    <w:rsidRoot w:val="00CE59AB"/>
    <w:rsid w:val="00213C59"/>
    <w:rsid w:val="003210CE"/>
    <w:rsid w:val="0035402B"/>
    <w:rsid w:val="00B70D59"/>
    <w:rsid w:val="00C76013"/>
    <w:rsid w:val="00CE59AB"/>
    <w:rsid w:val="00D8239B"/>
    <w:rsid w:val="00DE3DA4"/>
    <w:rsid w:val="00E21FD9"/>
    <w:rsid w:val="00F52A8D"/>
    <w:rsid w:val="01633395"/>
    <w:rsid w:val="019404F8"/>
    <w:rsid w:val="02BD3108"/>
    <w:rsid w:val="02F73D26"/>
    <w:rsid w:val="034D4FEF"/>
    <w:rsid w:val="035D1785"/>
    <w:rsid w:val="039F47CE"/>
    <w:rsid w:val="03E05CE8"/>
    <w:rsid w:val="03F973EE"/>
    <w:rsid w:val="043E5B56"/>
    <w:rsid w:val="046D24AF"/>
    <w:rsid w:val="04C04386"/>
    <w:rsid w:val="04FA68C4"/>
    <w:rsid w:val="053F5AE6"/>
    <w:rsid w:val="057141AA"/>
    <w:rsid w:val="057C0B0F"/>
    <w:rsid w:val="05EF4B48"/>
    <w:rsid w:val="05F76ECA"/>
    <w:rsid w:val="06792773"/>
    <w:rsid w:val="070030C9"/>
    <w:rsid w:val="07093795"/>
    <w:rsid w:val="074E2E62"/>
    <w:rsid w:val="07804730"/>
    <w:rsid w:val="079052BE"/>
    <w:rsid w:val="08145C21"/>
    <w:rsid w:val="08383279"/>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DCC2BFA"/>
    <w:rsid w:val="0E640559"/>
    <w:rsid w:val="0F1113DA"/>
    <w:rsid w:val="0F78534A"/>
    <w:rsid w:val="0F89358A"/>
    <w:rsid w:val="0F8C6D51"/>
    <w:rsid w:val="105B0B5E"/>
    <w:rsid w:val="112E58D0"/>
    <w:rsid w:val="11731CAC"/>
    <w:rsid w:val="119500A0"/>
    <w:rsid w:val="11B5446A"/>
    <w:rsid w:val="11C0733B"/>
    <w:rsid w:val="11D50D17"/>
    <w:rsid w:val="120E0809"/>
    <w:rsid w:val="127F665A"/>
    <w:rsid w:val="12F7068C"/>
    <w:rsid w:val="13612993"/>
    <w:rsid w:val="14207DC0"/>
    <w:rsid w:val="14B932DA"/>
    <w:rsid w:val="150A66AF"/>
    <w:rsid w:val="154C1139"/>
    <w:rsid w:val="158C5B77"/>
    <w:rsid w:val="1593168F"/>
    <w:rsid w:val="160D1149"/>
    <w:rsid w:val="163563C0"/>
    <w:rsid w:val="164315EF"/>
    <w:rsid w:val="16557DFE"/>
    <w:rsid w:val="167268FB"/>
    <w:rsid w:val="167B53DD"/>
    <w:rsid w:val="16D50C50"/>
    <w:rsid w:val="16E120E1"/>
    <w:rsid w:val="17385A05"/>
    <w:rsid w:val="173B3901"/>
    <w:rsid w:val="176747F9"/>
    <w:rsid w:val="17794589"/>
    <w:rsid w:val="17954A6E"/>
    <w:rsid w:val="180059E9"/>
    <w:rsid w:val="184510FD"/>
    <w:rsid w:val="18F83D88"/>
    <w:rsid w:val="190648B0"/>
    <w:rsid w:val="19071D6C"/>
    <w:rsid w:val="19B25EC2"/>
    <w:rsid w:val="19D26CD4"/>
    <w:rsid w:val="19D877B8"/>
    <w:rsid w:val="19E60D19"/>
    <w:rsid w:val="1A3E3450"/>
    <w:rsid w:val="1AA106FB"/>
    <w:rsid w:val="1AD37239"/>
    <w:rsid w:val="1AD807E5"/>
    <w:rsid w:val="1B39345B"/>
    <w:rsid w:val="1B3E63B4"/>
    <w:rsid w:val="1BFB2A1F"/>
    <w:rsid w:val="1C015D4A"/>
    <w:rsid w:val="1C290ED5"/>
    <w:rsid w:val="1C317E4F"/>
    <w:rsid w:val="1C472464"/>
    <w:rsid w:val="1D22799A"/>
    <w:rsid w:val="1D5C1A72"/>
    <w:rsid w:val="1DAF458D"/>
    <w:rsid w:val="1E074F12"/>
    <w:rsid w:val="1E086ACE"/>
    <w:rsid w:val="1E2C5345"/>
    <w:rsid w:val="1E62130A"/>
    <w:rsid w:val="1E97358B"/>
    <w:rsid w:val="1EAA4A5F"/>
    <w:rsid w:val="1EE869A7"/>
    <w:rsid w:val="1F296883"/>
    <w:rsid w:val="1FA15E62"/>
    <w:rsid w:val="1FCD25D9"/>
    <w:rsid w:val="1FED69B6"/>
    <w:rsid w:val="20624198"/>
    <w:rsid w:val="2064678E"/>
    <w:rsid w:val="20DC1AB9"/>
    <w:rsid w:val="20DD6197"/>
    <w:rsid w:val="212631E0"/>
    <w:rsid w:val="21A53757"/>
    <w:rsid w:val="221236C6"/>
    <w:rsid w:val="22D64749"/>
    <w:rsid w:val="22D7662C"/>
    <w:rsid w:val="23326B7F"/>
    <w:rsid w:val="236D5D4B"/>
    <w:rsid w:val="2380045B"/>
    <w:rsid w:val="23BC04D2"/>
    <w:rsid w:val="23EF1892"/>
    <w:rsid w:val="243C010A"/>
    <w:rsid w:val="2483647E"/>
    <w:rsid w:val="24A32D55"/>
    <w:rsid w:val="25292727"/>
    <w:rsid w:val="252E5CA9"/>
    <w:rsid w:val="256F7692"/>
    <w:rsid w:val="25BA2154"/>
    <w:rsid w:val="25C8773F"/>
    <w:rsid w:val="264A7253"/>
    <w:rsid w:val="26F0170C"/>
    <w:rsid w:val="2701681F"/>
    <w:rsid w:val="27201D62"/>
    <w:rsid w:val="27286E73"/>
    <w:rsid w:val="27CF2642"/>
    <w:rsid w:val="27E777F5"/>
    <w:rsid w:val="27EA1D4C"/>
    <w:rsid w:val="27EA2E41"/>
    <w:rsid w:val="282459E2"/>
    <w:rsid w:val="283A7FE5"/>
    <w:rsid w:val="285F51FF"/>
    <w:rsid w:val="28DF2665"/>
    <w:rsid w:val="29072599"/>
    <w:rsid w:val="291029F3"/>
    <w:rsid w:val="29AE0735"/>
    <w:rsid w:val="29CB58F0"/>
    <w:rsid w:val="2A053397"/>
    <w:rsid w:val="2A145E96"/>
    <w:rsid w:val="2AF5378F"/>
    <w:rsid w:val="2BB94DBF"/>
    <w:rsid w:val="2C6F314E"/>
    <w:rsid w:val="2CC206BE"/>
    <w:rsid w:val="2D1136DF"/>
    <w:rsid w:val="2D20606D"/>
    <w:rsid w:val="2DB87198"/>
    <w:rsid w:val="2DB93C54"/>
    <w:rsid w:val="2DD47626"/>
    <w:rsid w:val="2E3D144C"/>
    <w:rsid w:val="2E524010"/>
    <w:rsid w:val="2E891204"/>
    <w:rsid w:val="2F1F408C"/>
    <w:rsid w:val="2F3F0A28"/>
    <w:rsid w:val="2FBF7029"/>
    <w:rsid w:val="2FD0187F"/>
    <w:rsid w:val="2FD27414"/>
    <w:rsid w:val="2FF960D0"/>
    <w:rsid w:val="2FFE4BB0"/>
    <w:rsid w:val="300E7B60"/>
    <w:rsid w:val="300F6E18"/>
    <w:rsid w:val="30862F5F"/>
    <w:rsid w:val="31231C2B"/>
    <w:rsid w:val="314029C9"/>
    <w:rsid w:val="31C63837"/>
    <w:rsid w:val="31C82E39"/>
    <w:rsid w:val="32601BAD"/>
    <w:rsid w:val="329F6389"/>
    <w:rsid w:val="32BB2677"/>
    <w:rsid w:val="3389023A"/>
    <w:rsid w:val="33AF6E75"/>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35A6E"/>
    <w:rsid w:val="3A893816"/>
    <w:rsid w:val="3A893B6D"/>
    <w:rsid w:val="3AD1763A"/>
    <w:rsid w:val="3B067200"/>
    <w:rsid w:val="3B6716E3"/>
    <w:rsid w:val="3B6C6B2D"/>
    <w:rsid w:val="3BAE5B72"/>
    <w:rsid w:val="3C242659"/>
    <w:rsid w:val="3C4F2E11"/>
    <w:rsid w:val="3C804D66"/>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483556"/>
    <w:rsid w:val="3FB77A1D"/>
    <w:rsid w:val="3FDC3674"/>
    <w:rsid w:val="3FE53FDE"/>
    <w:rsid w:val="3FED7F8A"/>
    <w:rsid w:val="40094AEF"/>
    <w:rsid w:val="405470BD"/>
    <w:rsid w:val="40794A29"/>
    <w:rsid w:val="40834692"/>
    <w:rsid w:val="413C3756"/>
    <w:rsid w:val="41431AD5"/>
    <w:rsid w:val="414B3C0F"/>
    <w:rsid w:val="417C1CE7"/>
    <w:rsid w:val="41900018"/>
    <w:rsid w:val="41944406"/>
    <w:rsid w:val="41BC4034"/>
    <w:rsid w:val="41CE128F"/>
    <w:rsid w:val="41DA6F12"/>
    <w:rsid w:val="42171FB1"/>
    <w:rsid w:val="430C741F"/>
    <w:rsid w:val="430D6B64"/>
    <w:rsid w:val="434E6957"/>
    <w:rsid w:val="43BA0E31"/>
    <w:rsid w:val="43C15147"/>
    <w:rsid w:val="43E14DD2"/>
    <w:rsid w:val="43F800E9"/>
    <w:rsid w:val="443A7E4B"/>
    <w:rsid w:val="444D449C"/>
    <w:rsid w:val="44C24197"/>
    <w:rsid w:val="452F5B3A"/>
    <w:rsid w:val="454E7FD2"/>
    <w:rsid w:val="458A372E"/>
    <w:rsid w:val="45D10150"/>
    <w:rsid w:val="46061BDC"/>
    <w:rsid w:val="461404F8"/>
    <w:rsid w:val="46413018"/>
    <w:rsid w:val="464B7E04"/>
    <w:rsid w:val="468041AA"/>
    <w:rsid w:val="468123C6"/>
    <w:rsid w:val="46901EEE"/>
    <w:rsid w:val="469C74D2"/>
    <w:rsid w:val="47445515"/>
    <w:rsid w:val="474B4782"/>
    <w:rsid w:val="4792327C"/>
    <w:rsid w:val="47A42446"/>
    <w:rsid w:val="47D90D14"/>
    <w:rsid w:val="47E669E9"/>
    <w:rsid w:val="48387FB0"/>
    <w:rsid w:val="483A6114"/>
    <w:rsid w:val="488727DB"/>
    <w:rsid w:val="48B82268"/>
    <w:rsid w:val="48C354B3"/>
    <w:rsid w:val="493D58B5"/>
    <w:rsid w:val="494A7A04"/>
    <w:rsid w:val="4A0A26D2"/>
    <w:rsid w:val="4A2019A5"/>
    <w:rsid w:val="4A241A0B"/>
    <w:rsid w:val="4A3600F7"/>
    <w:rsid w:val="4A7B2875"/>
    <w:rsid w:val="4A934476"/>
    <w:rsid w:val="4AAA220A"/>
    <w:rsid w:val="4AE12E67"/>
    <w:rsid w:val="4B4C0111"/>
    <w:rsid w:val="4B8553A9"/>
    <w:rsid w:val="4BDB3730"/>
    <w:rsid w:val="4C200F7A"/>
    <w:rsid w:val="4C3B5049"/>
    <w:rsid w:val="4C771EB1"/>
    <w:rsid w:val="4CEE3180"/>
    <w:rsid w:val="4D0F4AF6"/>
    <w:rsid w:val="4DF94F37"/>
    <w:rsid w:val="4DFF6529"/>
    <w:rsid w:val="4E025099"/>
    <w:rsid w:val="4E0A1DD5"/>
    <w:rsid w:val="4E3160E5"/>
    <w:rsid w:val="4E4D37AF"/>
    <w:rsid w:val="4E8C6496"/>
    <w:rsid w:val="4EFD18DE"/>
    <w:rsid w:val="4F144236"/>
    <w:rsid w:val="4F663C87"/>
    <w:rsid w:val="4F7E29A8"/>
    <w:rsid w:val="4F9E1FFC"/>
    <w:rsid w:val="4FED7B6C"/>
    <w:rsid w:val="50186558"/>
    <w:rsid w:val="50447CC2"/>
    <w:rsid w:val="50874A7C"/>
    <w:rsid w:val="50895EE7"/>
    <w:rsid w:val="50921B9D"/>
    <w:rsid w:val="50D16158"/>
    <w:rsid w:val="50DB5F45"/>
    <w:rsid w:val="51025EB1"/>
    <w:rsid w:val="51141503"/>
    <w:rsid w:val="518D0ED5"/>
    <w:rsid w:val="525C687F"/>
    <w:rsid w:val="52736C0F"/>
    <w:rsid w:val="52851BE8"/>
    <w:rsid w:val="52F647F7"/>
    <w:rsid w:val="52F92565"/>
    <w:rsid w:val="53082665"/>
    <w:rsid w:val="53566F08"/>
    <w:rsid w:val="53D03877"/>
    <w:rsid w:val="542F73CA"/>
    <w:rsid w:val="5430786D"/>
    <w:rsid w:val="54C811C0"/>
    <w:rsid w:val="556A442D"/>
    <w:rsid w:val="55DA564E"/>
    <w:rsid w:val="5604127D"/>
    <w:rsid w:val="56166703"/>
    <w:rsid w:val="56510474"/>
    <w:rsid w:val="56861525"/>
    <w:rsid w:val="56A93273"/>
    <w:rsid w:val="56BD550C"/>
    <w:rsid w:val="56CA7A28"/>
    <w:rsid w:val="56E07045"/>
    <w:rsid w:val="56FF28AF"/>
    <w:rsid w:val="57540E7D"/>
    <w:rsid w:val="577B4878"/>
    <w:rsid w:val="57926973"/>
    <w:rsid w:val="57F550D5"/>
    <w:rsid w:val="58175352"/>
    <w:rsid w:val="581F2200"/>
    <w:rsid w:val="583059FA"/>
    <w:rsid w:val="584A0929"/>
    <w:rsid w:val="58CD2491"/>
    <w:rsid w:val="58EF3606"/>
    <w:rsid w:val="591B41B2"/>
    <w:rsid w:val="59254A26"/>
    <w:rsid w:val="59326325"/>
    <w:rsid w:val="595C505B"/>
    <w:rsid w:val="595E55C3"/>
    <w:rsid w:val="596E7E20"/>
    <w:rsid w:val="5A60780B"/>
    <w:rsid w:val="5AB34579"/>
    <w:rsid w:val="5AFC6609"/>
    <w:rsid w:val="5B113480"/>
    <w:rsid w:val="5BD456CE"/>
    <w:rsid w:val="5BD93E85"/>
    <w:rsid w:val="5C0D1F49"/>
    <w:rsid w:val="5C62500E"/>
    <w:rsid w:val="5C85481D"/>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0FD67A5"/>
    <w:rsid w:val="61726E4A"/>
    <w:rsid w:val="618E3791"/>
    <w:rsid w:val="61947DCA"/>
    <w:rsid w:val="61A46A97"/>
    <w:rsid w:val="61D1382F"/>
    <w:rsid w:val="61F114A2"/>
    <w:rsid w:val="62512BB4"/>
    <w:rsid w:val="625D7D1A"/>
    <w:rsid w:val="62DD7D21"/>
    <w:rsid w:val="637D586B"/>
    <w:rsid w:val="63A5560B"/>
    <w:rsid w:val="63E9091F"/>
    <w:rsid w:val="64322AF9"/>
    <w:rsid w:val="644B3AA2"/>
    <w:rsid w:val="64D6010D"/>
    <w:rsid w:val="64D82665"/>
    <w:rsid w:val="64E47C96"/>
    <w:rsid w:val="651E5741"/>
    <w:rsid w:val="652D5F3F"/>
    <w:rsid w:val="65441209"/>
    <w:rsid w:val="658A4877"/>
    <w:rsid w:val="65A00902"/>
    <w:rsid w:val="65AC6EDD"/>
    <w:rsid w:val="65D97752"/>
    <w:rsid w:val="66085536"/>
    <w:rsid w:val="66105BF7"/>
    <w:rsid w:val="66150023"/>
    <w:rsid w:val="6628010D"/>
    <w:rsid w:val="668C6DDA"/>
    <w:rsid w:val="669B4528"/>
    <w:rsid w:val="66CC12D7"/>
    <w:rsid w:val="67134CEF"/>
    <w:rsid w:val="671F1ABD"/>
    <w:rsid w:val="67521A59"/>
    <w:rsid w:val="67C304AB"/>
    <w:rsid w:val="683F0658"/>
    <w:rsid w:val="689C6793"/>
    <w:rsid w:val="68B72A92"/>
    <w:rsid w:val="68DB0208"/>
    <w:rsid w:val="68FB170C"/>
    <w:rsid w:val="691B3D98"/>
    <w:rsid w:val="693748F0"/>
    <w:rsid w:val="69846A0E"/>
    <w:rsid w:val="69AD798C"/>
    <w:rsid w:val="69D005C0"/>
    <w:rsid w:val="69D80B96"/>
    <w:rsid w:val="6A1E57FC"/>
    <w:rsid w:val="6B68175F"/>
    <w:rsid w:val="6BFD799F"/>
    <w:rsid w:val="6C4A2E5A"/>
    <w:rsid w:val="6C5F595F"/>
    <w:rsid w:val="6C8138D0"/>
    <w:rsid w:val="6CEF0725"/>
    <w:rsid w:val="6D4B2604"/>
    <w:rsid w:val="6D8030E4"/>
    <w:rsid w:val="6E0E35C4"/>
    <w:rsid w:val="6E0F7A08"/>
    <w:rsid w:val="6E3947F5"/>
    <w:rsid w:val="6E9C74ED"/>
    <w:rsid w:val="6EF72976"/>
    <w:rsid w:val="6F6A1A73"/>
    <w:rsid w:val="6F795A80"/>
    <w:rsid w:val="6F7C1D2E"/>
    <w:rsid w:val="6F8E0407"/>
    <w:rsid w:val="6FDD069F"/>
    <w:rsid w:val="70061A5C"/>
    <w:rsid w:val="702B4D16"/>
    <w:rsid w:val="705B3406"/>
    <w:rsid w:val="70AA6621"/>
    <w:rsid w:val="7111480F"/>
    <w:rsid w:val="71261F49"/>
    <w:rsid w:val="712E6956"/>
    <w:rsid w:val="713D4B16"/>
    <w:rsid w:val="71473612"/>
    <w:rsid w:val="71504F32"/>
    <w:rsid w:val="7152309F"/>
    <w:rsid w:val="718F7F65"/>
    <w:rsid w:val="727B234E"/>
    <w:rsid w:val="72BC0200"/>
    <w:rsid w:val="72D068C7"/>
    <w:rsid w:val="72E42ED8"/>
    <w:rsid w:val="731C6E6F"/>
    <w:rsid w:val="735F4CB9"/>
    <w:rsid w:val="73674C62"/>
    <w:rsid w:val="73845865"/>
    <w:rsid w:val="739B6D9E"/>
    <w:rsid w:val="73BC1D76"/>
    <w:rsid w:val="73D90D8C"/>
    <w:rsid w:val="73FB6630"/>
    <w:rsid w:val="748D790E"/>
    <w:rsid w:val="749820CC"/>
    <w:rsid w:val="74CE04EC"/>
    <w:rsid w:val="74E76DCD"/>
    <w:rsid w:val="751D7C0A"/>
    <w:rsid w:val="75722D56"/>
    <w:rsid w:val="75DB5477"/>
    <w:rsid w:val="75FC6AC3"/>
    <w:rsid w:val="7616619B"/>
    <w:rsid w:val="763D68E8"/>
    <w:rsid w:val="76660D7C"/>
    <w:rsid w:val="766C5968"/>
    <w:rsid w:val="76BE0C8F"/>
    <w:rsid w:val="76CD53B2"/>
    <w:rsid w:val="770719AC"/>
    <w:rsid w:val="776526CC"/>
    <w:rsid w:val="77A262E1"/>
    <w:rsid w:val="77B13C33"/>
    <w:rsid w:val="77E11515"/>
    <w:rsid w:val="77ED6F44"/>
    <w:rsid w:val="77F45548"/>
    <w:rsid w:val="781947DD"/>
    <w:rsid w:val="784E7CA6"/>
    <w:rsid w:val="78574801"/>
    <w:rsid w:val="7873527F"/>
    <w:rsid w:val="790A6425"/>
    <w:rsid w:val="790E2D96"/>
    <w:rsid w:val="791B54B2"/>
    <w:rsid w:val="795A0A34"/>
    <w:rsid w:val="797339C3"/>
    <w:rsid w:val="79D57D57"/>
    <w:rsid w:val="79E12DBA"/>
    <w:rsid w:val="79F00650"/>
    <w:rsid w:val="7A6242BF"/>
    <w:rsid w:val="7A794513"/>
    <w:rsid w:val="7AE952D2"/>
    <w:rsid w:val="7BFF2154"/>
    <w:rsid w:val="7C976D69"/>
    <w:rsid w:val="7CD752DA"/>
    <w:rsid w:val="7CDE40AB"/>
    <w:rsid w:val="7CF057E2"/>
    <w:rsid w:val="7D1548B5"/>
    <w:rsid w:val="7DF84014"/>
    <w:rsid w:val="7E207949"/>
    <w:rsid w:val="7E5C0A47"/>
    <w:rsid w:val="7E670C75"/>
    <w:rsid w:val="7E8534AD"/>
    <w:rsid w:val="7EE24272"/>
    <w:rsid w:val="7EEA6053"/>
    <w:rsid w:val="7F487C04"/>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9"/>
    <w:pPr>
      <w:keepNext/>
      <w:keepLines/>
      <w:spacing w:before="260" w:after="260" w:line="416" w:lineRule="auto"/>
      <w:outlineLvl w:val="2"/>
    </w:pPr>
    <w:rPr>
      <w:b/>
      <w:bCs/>
      <w:sz w:val="32"/>
      <w:szCs w:val="32"/>
    </w:rPr>
  </w:style>
  <w:style w:type="character" w:default="1" w:styleId="11">
    <w:name w:val="Default Paragraph Font"/>
    <w:semiHidden/>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jc w:val="left"/>
    </w:pPr>
    <w:rPr>
      <w:kern w:val="0"/>
      <w:sz w:val="24"/>
    </w:rPr>
  </w:style>
  <w:style w:type="character" w:styleId="12">
    <w:name w:val="Strong"/>
    <w:basedOn w:val="11"/>
    <w:qFormat/>
    <w:uiPriority w:val="0"/>
    <w:rPr>
      <w:b/>
    </w:rPr>
  </w:style>
  <w:style w:type="paragraph" w:customStyle="1" w:styleId="13">
    <w:name w:val="WPSOffice手动目录 3"/>
    <w:qFormat/>
    <w:uiPriority w:val="0"/>
    <w:pPr>
      <w:spacing w:after="160" w:line="278" w:lineRule="auto"/>
      <w:ind w:left="400" w:leftChars="400"/>
    </w:pPr>
    <w:rPr>
      <w:rFonts w:ascii="Times New Roman" w:hAnsi="Times New Roman" w:eastAsia="宋体" w:cs="Times New Roman"/>
      <w:lang w:val="en-US" w:eastAsia="zh-CN" w:bidi="ar-SA"/>
    </w:rPr>
  </w:style>
  <w:style w:type="paragraph" w:customStyle="1" w:styleId="14">
    <w:name w:val="WPSOffice手动目录 2"/>
    <w:qFormat/>
    <w:uiPriority w:val="0"/>
    <w:pPr>
      <w:spacing w:after="160" w:line="278" w:lineRule="auto"/>
      <w:ind w:left="200" w:leftChars="200"/>
    </w:pPr>
    <w:rPr>
      <w:rFonts w:ascii="Times New Roman" w:hAnsi="Times New Roman" w:eastAsia="宋体" w:cs="Times New Roman"/>
      <w:lang w:val="en-US" w:eastAsia="zh-CN" w:bidi="ar-SA"/>
    </w:rPr>
  </w:style>
  <w:style w:type="paragraph" w:customStyle="1" w:styleId="15">
    <w:name w:val="WPSOffice手动目录 1"/>
    <w:qFormat/>
    <w:uiPriority w:val="0"/>
    <w:pPr>
      <w:spacing w:after="160" w:line="278" w:lineRule="auto"/>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1347</Words>
  <Characters>7679</Characters>
  <Lines>63</Lines>
  <Paragraphs>18</Paragraphs>
  <TotalTime>66</TotalTime>
  <ScaleCrop>false</ScaleCrop>
  <LinksUpToDate>false</LinksUpToDate>
  <CharactersWithSpaces>9008</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2025-04-07T09:36:32Z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F7E3A2B6223A4AAE8EE571CAEA1476E2_13</vt:lpwstr>
  </property>
</Properties>
</file>