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黑体" w:hAnsi="黑体" w:eastAsia="黑体"/>
          <w:sz w:val="32"/>
          <w:szCs w:val="32"/>
        </w:rPr>
      </w:pPr>
    </w:p>
    <w:p>
      <w:pPr>
        <w:spacing w:line="240" w:lineRule="auto"/>
        <w:jc w:val="center"/>
        <w:rPr>
          <w:rFonts w:hint="eastAsia" w:ascii="方正小标宋_GBK" w:hAnsi="宋体" w:eastAsia="方正小标宋_GBK"/>
          <w:sz w:val="44"/>
          <w:szCs w:val="44"/>
        </w:rPr>
      </w:pP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裕民县技工学校</w:t>
      </w: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spacing w:line="240" w:lineRule="auto"/>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7"/>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spacing w:line="240" w:lineRule="auto"/>
        <w:jc w:val="center"/>
        <w:outlineLvl w:val="0"/>
        <w:rPr>
          <w:rFonts w:hint="eastAsia" w:ascii="黑体" w:hAnsi="黑体" w:eastAsia="黑体" w:cs="黑体"/>
          <w:sz w:val="32"/>
          <w:szCs w:val="32"/>
        </w:rPr>
      </w:pPr>
      <w:bookmarkStart w:id="0" w:name="_Toc24028"/>
      <w:bookmarkStart w:id="1" w:name="_Toc32314"/>
      <w:r>
        <w:rPr>
          <w:rFonts w:hint="eastAsia" w:ascii="黑体" w:hAnsi="黑体" w:eastAsia="黑体" w:cs="黑体"/>
          <w:sz w:val="32"/>
          <w:szCs w:val="32"/>
        </w:rPr>
        <w:t>第一部分 单位概况</w:t>
      </w:r>
      <w:bookmarkEnd w:id="0"/>
      <w:bookmarkEnd w:id="1"/>
    </w:p>
    <w:p>
      <w:pPr>
        <w:spacing w:line="240" w:lineRule="auto"/>
        <w:ind w:firstLine="640" w:firstLineChars="200"/>
        <w:outlineLvl w:val="1"/>
        <w:rPr>
          <w:rFonts w:hint="eastAsia" w:ascii="黑体" w:hAnsi="黑体" w:eastAsia="黑体" w:cs="黑体"/>
          <w:bCs/>
          <w:kern w:val="0"/>
          <w:sz w:val="32"/>
          <w:szCs w:val="32"/>
        </w:rPr>
      </w:pPr>
      <w:bookmarkStart w:id="2" w:name="_Toc30567"/>
      <w:bookmarkStart w:id="3" w:name="_Toc30738"/>
      <w:r>
        <w:rPr>
          <w:rFonts w:hint="eastAsia" w:ascii="黑体" w:hAnsi="黑体" w:eastAsia="黑体" w:cs="黑体"/>
          <w:bCs/>
          <w:kern w:val="0"/>
          <w:sz w:val="32"/>
          <w:szCs w:val="32"/>
        </w:rPr>
        <w:t>一、主要职能</w:t>
      </w:r>
      <w:bookmarkEnd w:id="2"/>
      <w:bookmarkEnd w:id="3"/>
    </w:p>
    <w:p>
      <w:pPr>
        <w:widowControl/>
        <w:spacing w:line="540" w:lineRule="exact"/>
        <w:ind w:firstLine="640" w:firstLineChars="200"/>
        <w:rPr>
          <w:rFonts w:hint="eastAsia" w:ascii="仿宋_GB2312" w:hAnsi="仿宋_GB2312" w:eastAsia="仿宋_GB2312" w:cs="仿宋_GB2312"/>
          <w:bCs/>
          <w:kern w:val="0"/>
          <w:sz w:val="32"/>
          <w:szCs w:val="32"/>
        </w:rPr>
      </w:pPr>
      <w:bookmarkStart w:id="4" w:name="_Toc31238"/>
      <w:bookmarkStart w:id="5" w:name="_Toc2151"/>
      <w:r>
        <w:rPr>
          <w:rFonts w:hint="eastAsia" w:ascii="仿宋_GB2312" w:hAnsi="仿宋_GB2312" w:eastAsia="仿宋_GB2312" w:cs="仿宋_GB2312"/>
          <w:bCs/>
          <w:kern w:val="0"/>
          <w:sz w:val="32"/>
          <w:szCs w:val="32"/>
        </w:rPr>
        <w:t>（1）负责全县大中专毕业生、下岗失业人员复转退伍军人、农村富余劳动力、城镇新成长劳动力等技能培训和转移就业培训的组织实施工作。</w:t>
      </w:r>
    </w:p>
    <w:p>
      <w:pPr>
        <w:widowControl/>
        <w:spacing w:line="54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（2）负责开展全县农牧民科学技术培训工作。</w:t>
      </w:r>
    </w:p>
    <w:p>
      <w:pPr>
        <w:widowControl/>
        <w:spacing w:line="54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（3）承办县委、县政府及主管部门交办的其他工作。</w:t>
      </w:r>
    </w:p>
    <w:p>
      <w:pPr>
        <w:spacing w:line="240" w:lineRule="auto"/>
        <w:ind w:firstLine="640" w:firstLineChars="200"/>
        <w:outlineLvl w:val="1"/>
        <w:rPr>
          <w:rFonts w:hint="eastAsia" w:ascii="黑体" w:hAnsi="黑体" w:eastAsia="黑体" w:cs="黑体"/>
          <w:bCs/>
          <w:kern w:val="0"/>
          <w:sz w:val="32"/>
          <w:szCs w:val="32"/>
        </w:rPr>
      </w:pPr>
      <w:r>
        <w:rPr>
          <w:rFonts w:hint="eastAsia" w:ascii="黑体" w:hAnsi="黑体" w:eastAsia="黑体" w:cs="黑体"/>
          <w:bCs/>
          <w:kern w:val="0"/>
          <w:sz w:val="32"/>
          <w:szCs w:val="32"/>
        </w:rPr>
        <w:t>二、机构设置及</w:t>
      </w:r>
      <w:bookmarkEnd w:id="4"/>
      <w:r>
        <w:rPr>
          <w:rFonts w:hint="eastAsia" w:ascii="黑体" w:hAnsi="黑体" w:eastAsia="黑体" w:cs="黑体"/>
          <w:bCs/>
          <w:kern w:val="0"/>
          <w:sz w:val="32"/>
          <w:szCs w:val="32"/>
        </w:rPr>
        <w:t>人员情况</w:t>
      </w:r>
      <w:bookmarkEnd w:id="5"/>
    </w:p>
    <w:p>
      <w:pPr>
        <w:spacing w:line="240" w:lineRule="auto"/>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裕民县技工学校2023年度，实有人数</w:t>
      </w:r>
      <w:r>
        <w:rPr>
          <w:rFonts w:hint="eastAsia" w:ascii="仿宋_GB2312" w:hAnsi="仿宋_GB2312" w:eastAsia="仿宋_GB2312" w:cs="仿宋_GB2312"/>
          <w:sz w:val="32"/>
          <w:szCs w:val="32"/>
          <w:lang w:val="zh-CN"/>
        </w:rPr>
        <w:t>14</w:t>
      </w:r>
      <w:r>
        <w:rPr>
          <w:rFonts w:hint="eastAsia" w:ascii="仿宋_GB2312" w:hAnsi="仿宋_GB2312" w:eastAsia="仿宋_GB2312" w:cs="仿宋_GB2312"/>
          <w:sz w:val="32"/>
          <w:szCs w:val="32"/>
        </w:rPr>
        <w:t>人，其中：在职人员</w:t>
      </w:r>
      <w:r>
        <w:rPr>
          <w:rFonts w:hint="eastAsia" w:ascii="仿宋_GB2312" w:hAnsi="仿宋_GB2312" w:eastAsia="仿宋_GB2312" w:cs="仿宋_GB2312"/>
          <w:sz w:val="32"/>
          <w:szCs w:val="32"/>
          <w:lang w:val="zh-CN"/>
        </w:rPr>
        <w:t>14</w:t>
      </w:r>
      <w:r>
        <w:rPr>
          <w:rFonts w:hint="eastAsia" w:ascii="仿宋_GB2312" w:hAnsi="仿宋_GB2312" w:eastAsia="仿宋_GB2312" w:cs="仿宋_GB2312"/>
          <w:sz w:val="32"/>
          <w:szCs w:val="32"/>
        </w:rPr>
        <w:t>人，离休人员</w:t>
      </w:r>
      <w:r>
        <w:rPr>
          <w:rFonts w:hint="eastAsia" w:ascii="仿宋_GB2312" w:hAnsi="仿宋_GB2312" w:eastAsia="仿宋_GB2312" w:cs="仿宋_GB2312"/>
          <w:sz w:val="32"/>
          <w:szCs w:val="32"/>
          <w:lang w:val="zh-CN"/>
        </w:rPr>
        <w:t>0</w:t>
      </w:r>
      <w:r>
        <w:rPr>
          <w:rFonts w:hint="eastAsia" w:ascii="仿宋_GB2312" w:hAnsi="仿宋_GB2312" w:eastAsia="仿宋_GB2312" w:cs="仿宋_GB2312"/>
          <w:sz w:val="32"/>
          <w:szCs w:val="32"/>
        </w:rPr>
        <w:t>人，退休人员</w:t>
      </w:r>
      <w:r>
        <w:rPr>
          <w:rFonts w:hint="eastAsia" w:ascii="仿宋_GB2312" w:hAnsi="仿宋_GB2312" w:eastAsia="仿宋_GB2312" w:cs="仿宋_GB2312"/>
          <w:sz w:val="32"/>
          <w:szCs w:val="32"/>
          <w:lang w:val="zh-CN"/>
        </w:rPr>
        <w:t>0</w:t>
      </w:r>
      <w:r>
        <w:rPr>
          <w:rFonts w:hint="eastAsia" w:ascii="仿宋_GB2312" w:hAnsi="仿宋_GB2312" w:eastAsia="仿宋_GB2312" w:cs="仿宋_GB2312"/>
          <w:sz w:val="32"/>
          <w:szCs w:val="32"/>
        </w:rPr>
        <w:t>人。</w:t>
      </w:r>
    </w:p>
    <w:p>
      <w:pPr>
        <w:widowControl/>
        <w:spacing w:line="540" w:lineRule="exact"/>
        <w:ind w:firstLine="640" w:firstLineChars="200"/>
        <w:rPr>
          <w:rFonts w:hint="eastAsia" w:ascii="仿宋_GB2312" w:hAnsi="仿宋_GB2312" w:eastAsia="仿宋_GB2312" w:cs="仿宋_GB2312"/>
          <w:kern w:val="0"/>
          <w:sz w:val="32"/>
          <w:szCs w:val="32"/>
        </w:rPr>
      </w:pPr>
      <w:bookmarkStart w:id="6" w:name="_Toc3092"/>
      <w:bookmarkStart w:id="7" w:name="_Toc29374"/>
      <w:r>
        <w:rPr>
          <w:rFonts w:hint="eastAsia" w:ascii="仿宋_GB2312" w:hAnsi="仿宋_GB2312" w:eastAsia="仿宋_GB2312" w:cs="仿宋_GB2312"/>
          <w:kern w:val="0"/>
          <w:sz w:val="32"/>
          <w:szCs w:val="32"/>
        </w:rPr>
        <w:t>裕民县技工学校无下属预算单位，下设6个处室，分别是：办公室、财务室、教务教学室、培训室、招生就业室（人力资源服务站）、总务室。</w:t>
      </w:r>
    </w:p>
    <w:p>
      <w:pPr>
        <w:pStyle w:val="8"/>
        <w:ind w:firstLine="640" w:firstLineChars="200"/>
        <w:jc w:val="both"/>
        <w:rPr>
          <w:rFonts w:hint="eastAsia" w:ascii="仿宋_GB2312" w:hAnsi="仿宋_GB2312" w:eastAsia="仿宋_GB2312" w:cs="仿宋_GB2312"/>
          <w:kern w:val="0"/>
          <w:sz w:val="32"/>
          <w:szCs w:val="32"/>
        </w:rPr>
      </w:pPr>
    </w:p>
    <w:p>
      <w:pPr>
        <w:pStyle w:val="8"/>
        <w:ind w:firstLine="640" w:firstLineChars="200"/>
        <w:jc w:val="both"/>
        <w:rPr>
          <w:rFonts w:hint="eastAsia" w:ascii="仿宋_GB2312" w:hAnsi="仿宋_GB2312" w:eastAsia="仿宋_GB2312" w:cs="仿宋_GB2312"/>
          <w:kern w:val="0"/>
          <w:sz w:val="32"/>
          <w:szCs w:val="32"/>
        </w:rPr>
      </w:pPr>
    </w:p>
    <w:p>
      <w:pPr>
        <w:pStyle w:val="8"/>
        <w:ind w:firstLine="640" w:firstLineChars="200"/>
        <w:jc w:val="both"/>
        <w:rPr>
          <w:rFonts w:hint="eastAsia" w:ascii="仿宋_GB2312" w:hAnsi="仿宋_GB2312" w:eastAsia="仿宋_GB2312" w:cs="仿宋_GB2312"/>
          <w:kern w:val="0"/>
          <w:sz w:val="32"/>
          <w:szCs w:val="32"/>
        </w:rPr>
      </w:pPr>
    </w:p>
    <w:p>
      <w:pPr>
        <w:pStyle w:val="8"/>
        <w:ind w:firstLine="640" w:firstLineChars="200"/>
        <w:jc w:val="both"/>
        <w:rPr>
          <w:rFonts w:hint="eastAsia" w:ascii="仿宋_GB2312" w:hAnsi="仿宋_GB2312" w:eastAsia="仿宋_GB2312" w:cs="仿宋_GB2312"/>
          <w:kern w:val="0"/>
          <w:sz w:val="32"/>
          <w:szCs w:val="32"/>
        </w:rPr>
      </w:pPr>
    </w:p>
    <w:p>
      <w:pPr>
        <w:pStyle w:val="8"/>
        <w:ind w:firstLine="640" w:firstLineChars="200"/>
        <w:jc w:val="both"/>
        <w:rPr>
          <w:rFonts w:hint="eastAsia" w:ascii="仿宋_GB2312" w:hAnsi="仿宋_GB2312" w:eastAsia="仿宋_GB2312" w:cs="仿宋_GB2312"/>
          <w:kern w:val="0"/>
          <w:sz w:val="32"/>
          <w:szCs w:val="32"/>
        </w:rPr>
      </w:pPr>
    </w:p>
    <w:p>
      <w:pPr>
        <w:pStyle w:val="8"/>
        <w:ind w:firstLine="640" w:firstLineChars="200"/>
        <w:jc w:val="both"/>
        <w:rPr>
          <w:rFonts w:hint="eastAsia" w:ascii="仿宋_GB2312" w:hAnsi="仿宋_GB2312" w:eastAsia="仿宋_GB2312" w:cs="仿宋_GB2312"/>
          <w:kern w:val="0"/>
          <w:sz w:val="32"/>
          <w:szCs w:val="32"/>
        </w:rPr>
      </w:pPr>
    </w:p>
    <w:p>
      <w:pPr>
        <w:pStyle w:val="8"/>
        <w:ind w:firstLine="640" w:firstLineChars="200"/>
        <w:jc w:val="both"/>
        <w:rPr>
          <w:rFonts w:hint="eastAsia" w:ascii="仿宋_GB2312" w:hAnsi="仿宋_GB2312" w:eastAsia="仿宋_GB2312" w:cs="仿宋_GB2312"/>
          <w:kern w:val="0"/>
          <w:sz w:val="32"/>
          <w:szCs w:val="32"/>
        </w:rPr>
      </w:pPr>
    </w:p>
    <w:p>
      <w:pPr>
        <w:pStyle w:val="8"/>
        <w:ind w:firstLine="640" w:firstLineChars="200"/>
        <w:jc w:val="both"/>
        <w:rPr>
          <w:rFonts w:hint="eastAsia" w:ascii="仿宋_GB2312" w:hAnsi="仿宋_GB2312" w:eastAsia="仿宋_GB2312" w:cs="仿宋_GB2312"/>
          <w:kern w:val="0"/>
          <w:sz w:val="32"/>
          <w:szCs w:val="32"/>
        </w:rPr>
      </w:pPr>
    </w:p>
    <w:p>
      <w:pPr>
        <w:pStyle w:val="8"/>
        <w:ind w:firstLine="640" w:firstLineChars="200"/>
        <w:jc w:val="both"/>
        <w:rPr>
          <w:rFonts w:hint="eastAsia" w:ascii="仿宋_GB2312" w:hAnsi="仿宋_GB2312" w:eastAsia="仿宋_GB2312" w:cs="仿宋_GB2312"/>
          <w:kern w:val="0"/>
          <w:sz w:val="32"/>
          <w:szCs w:val="32"/>
        </w:rPr>
      </w:pPr>
    </w:p>
    <w:p>
      <w:pPr>
        <w:pStyle w:val="8"/>
        <w:ind w:firstLine="640" w:firstLineChars="200"/>
        <w:jc w:val="both"/>
        <w:rPr>
          <w:rFonts w:hint="eastAsia" w:ascii="仿宋_GB2312" w:hAnsi="仿宋_GB2312" w:eastAsia="仿宋_GB2312" w:cs="仿宋_GB2312"/>
          <w:kern w:val="0"/>
          <w:sz w:val="32"/>
          <w:szCs w:val="32"/>
        </w:rPr>
      </w:pPr>
    </w:p>
    <w:p>
      <w:pPr>
        <w:pStyle w:val="8"/>
        <w:ind w:firstLine="640" w:firstLineChars="200"/>
        <w:jc w:val="both"/>
        <w:rPr>
          <w:rFonts w:hint="eastAsia" w:ascii="仿宋_GB2312" w:hAnsi="仿宋_GB2312" w:eastAsia="仿宋_GB2312" w:cs="仿宋_GB2312"/>
          <w:kern w:val="0"/>
          <w:sz w:val="32"/>
          <w:szCs w:val="32"/>
        </w:rPr>
      </w:pPr>
    </w:p>
    <w:p>
      <w:pPr>
        <w:pStyle w:val="8"/>
        <w:ind w:firstLine="640" w:firstLineChars="200"/>
        <w:jc w:val="both"/>
        <w:rPr>
          <w:rFonts w:hint="eastAsia" w:ascii="仿宋_GB2312" w:hAnsi="仿宋_GB2312" w:eastAsia="仿宋_GB2312" w:cs="仿宋_GB2312"/>
          <w:kern w:val="0"/>
          <w:sz w:val="32"/>
          <w:szCs w:val="32"/>
        </w:rPr>
      </w:pPr>
    </w:p>
    <w:p>
      <w:pPr>
        <w:pStyle w:val="8"/>
        <w:ind w:firstLine="640" w:firstLineChars="200"/>
        <w:jc w:val="both"/>
        <w:rPr>
          <w:rFonts w:hint="eastAsia" w:ascii="仿宋_GB2312" w:hAnsi="仿宋_GB2312" w:eastAsia="仿宋_GB2312" w:cs="仿宋_GB2312"/>
          <w:kern w:val="0"/>
          <w:sz w:val="32"/>
          <w:szCs w:val="32"/>
        </w:rPr>
      </w:pPr>
    </w:p>
    <w:p>
      <w:pPr>
        <w:pStyle w:val="8"/>
        <w:ind w:firstLine="640" w:firstLineChars="200"/>
        <w:jc w:val="both"/>
        <w:rPr>
          <w:rFonts w:hint="eastAsia" w:ascii="仿宋_GB2312" w:hAnsi="仿宋_GB2312" w:eastAsia="仿宋_GB2312" w:cs="仿宋_GB2312"/>
          <w:kern w:val="0"/>
          <w:sz w:val="32"/>
          <w:szCs w:val="32"/>
        </w:rPr>
      </w:pPr>
    </w:p>
    <w:p>
      <w:pPr>
        <w:pStyle w:val="8"/>
        <w:ind w:firstLine="640" w:firstLineChars="200"/>
        <w:jc w:val="both"/>
        <w:rPr>
          <w:rFonts w:hint="eastAsia" w:ascii="仿宋_GB2312" w:hAnsi="仿宋_GB2312" w:eastAsia="仿宋_GB2312" w:cs="仿宋_GB2312"/>
          <w:kern w:val="0"/>
          <w:sz w:val="32"/>
          <w:szCs w:val="32"/>
        </w:rPr>
      </w:pPr>
    </w:p>
    <w:p>
      <w:pPr>
        <w:spacing w:line="240" w:lineRule="auto"/>
        <w:jc w:val="center"/>
        <w:outlineLvl w:val="0"/>
        <w:rPr>
          <w:rFonts w:hint="eastAsia" w:ascii="黑体" w:hAnsi="黑体" w:eastAsia="黑体" w:cs="黑体"/>
          <w:sz w:val="32"/>
          <w:szCs w:val="32"/>
        </w:rPr>
      </w:pPr>
      <w:r>
        <w:rPr>
          <w:rFonts w:hint="eastAsia" w:ascii="黑体" w:hAnsi="黑体" w:eastAsia="黑体" w:cs="黑体"/>
          <w:sz w:val="32"/>
          <w:szCs w:val="32"/>
        </w:rPr>
        <w:t>第二部分 部门决算情况说明</w:t>
      </w:r>
      <w:bookmarkEnd w:id="6"/>
      <w:bookmarkEnd w:id="7"/>
    </w:p>
    <w:p>
      <w:pPr>
        <w:spacing w:line="240" w:lineRule="auto"/>
        <w:ind w:firstLine="640" w:firstLineChars="200"/>
        <w:outlineLvl w:val="1"/>
        <w:rPr>
          <w:rFonts w:hint="eastAsia" w:ascii="黑体" w:hAnsi="黑体" w:eastAsia="黑体" w:cs="黑体"/>
          <w:bCs/>
          <w:kern w:val="0"/>
          <w:sz w:val="32"/>
          <w:szCs w:val="32"/>
        </w:rPr>
      </w:pPr>
      <w:bookmarkStart w:id="8" w:name="_Toc12566"/>
      <w:bookmarkStart w:id="9" w:name="_Toc25314"/>
      <w:r>
        <w:rPr>
          <w:rFonts w:hint="eastAsia" w:ascii="黑体" w:hAnsi="黑体" w:eastAsia="黑体" w:cs="黑体"/>
          <w:bCs/>
          <w:kern w:val="0"/>
          <w:sz w:val="32"/>
          <w:szCs w:val="32"/>
        </w:rPr>
        <w:t>一、收入支出决算总体情况说明</w:t>
      </w:r>
      <w:bookmarkEnd w:id="8"/>
      <w:bookmarkEnd w:id="9"/>
    </w:p>
    <w:p>
      <w:pPr>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2023年度收入总计386.10万元，</w:t>
      </w:r>
      <w:r>
        <w:rPr>
          <w:rFonts w:hint="eastAsia" w:ascii="仿宋_GB2312" w:hAnsi="仿宋_GB2312" w:eastAsia="仿宋_GB2312" w:cs="仿宋_GB2312"/>
          <w:sz w:val="32"/>
          <w:szCs w:val="32"/>
        </w:rPr>
        <w:t>其中：本年收入合计386.10万元，使用非财政拨款结余0.00万元，年初结转和结余0.00万元。</w:t>
      </w:r>
    </w:p>
    <w:p>
      <w:pPr>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2023年度支出总计386.10万元，</w:t>
      </w:r>
      <w:r>
        <w:rPr>
          <w:rFonts w:hint="eastAsia" w:ascii="仿宋_GB2312" w:hAnsi="仿宋_GB2312" w:eastAsia="仿宋_GB2312" w:cs="仿宋_GB2312"/>
          <w:sz w:val="32"/>
          <w:szCs w:val="32"/>
        </w:rPr>
        <w:t>其中：本年支出合计377.05万元，结余分配0.00万元，年末结转和结余9.04万元。</w:t>
      </w:r>
    </w:p>
    <w:p>
      <w:pPr>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收入支出总体与上年相比，</w:t>
      </w:r>
      <w:r>
        <w:rPr>
          <w:rFonts w:hint="eastAsia" w:ascii="仿宋_GB2312" w:hAnsi="仿宋_GB2312" w:eastAsia="仿宋_GB2312" w:cs="仿宋_GB2312"/>
          <w:sz w:val="32"/>
          <w:szCs w:val="32"/>
          <w:lang w:val="zh-CN"/>
        </w:rPr>
        <w:t>减少755.13万元</w:t>
      </w:r>
      <w:r>
        <w:rPr>
          <w:rFonts w:hint="eastAsia" w:ascii="仿宋_GB2312" w:hAnsi="仿宋_GB2312" w:eastAsia="仿宋_GB2312" w:cs="仿宋_GB2312"/>
          <w:sz w:val="32"/>
          <w:szCs w:val="32"/>
        </w:rPr>
        <w:t>，下降66.17%，主要原因是：我校2023年无项目。</w:t>
      </w:r>
    </w:p>
    <w:p>
      <w:pPr>
        <w:spacing w:line="240" w:lineRule="auto"/>
        <w:ind w:firstLine="640" w:firstLineChars="200"/>
        <w:outlineLvl w:val="1"/>
        <w:rPr>
          <w:rFonts w:hint="eastAsia" w:ascii="黑体" w:hAnsi="黑体" w:eastAsia="黑体" w:cs="黑体"/>
          <w:bCs/>
          <w:kern w:val="0"/>
          <w:sz w:val="32"/>
          <w:szCs w:val="32"/>
        </w:rPr>
      </w:pPr>
      <w:bookmarkStart w:id="10" w:name="_Toc1979"/>
      <w:bookmarkStart w:id="11" w:name="_Toc12142"/>
      <w:r>
        <w:rPr>
          <w:rFonts w:hint="eastAsia" w:ascii="黑体" w:hAnsi="黑体" w:eastAsia="黑体" w:cs="黑体"/>
          <w:bCs/>
          <w:kern w:val="0"/>
          <w:sz w:val="32"/>
          <w:szCs w:val="32"/>
        </w:rPr>
        <w:t>二、收入决算情况说明</w:t>
      </w:r>
      <w:bookmarkEnd w:id="10"/>
      <w:bookmarkEnd w:id="11"/>
    </w:p>
    <w:p>
      <w:pPr>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本年收入386.10万元，</w:t>
      </w:r>
      <w:r>
        <w:rPr>
          <w:rFonts w:hint="eastAsia" w:ascii="仿宋_GB2312" w:hAnsi="仿宋_GB2312" w:eastAsia="仿宋_GB2312" w:cs="仿宋_GB2312"/>
          <w:sz w:val="32"/>
          <w:szCs w:val="32"/>
        </w:rPr>
        <w:t>其中：财政拨款收入</w:t>
      </w:r>
      <w:r>
        <w:rPr>
          <w:rFonts w:hint="eastAsia" w:ascii="仿宋_GB2312" w:hAnsi="仿宋_GB2312" w:eastAsia="仿宋_GB2312" w:cs="仿宋_GB2312"/>
          <w:sz w:val="32"/>
          <w:szCs w:val="32"/>
          <w:lang w:val="zh-CN"/>
        </w:rPr>
        <w:t>212.78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55.11</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zh-CN"/>
        </w:rPr>
        <w:t>173.32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44.89</w:t>
      </w:r>
      <w:r>
        <w:rPr>
          <w:rFonts w:hint="eastAsia" w:ascii="仿宋_GB2312" w:hAnsi="仿宋_GB2312" w:eastAsia="仿宋_GB2312" w:cs="仿宋_GB2312"/>
          <w:sz w:val="32"/>
          <w:szCs w:val="32"/>
        </w:rPr>
        <w:t>%。</w:t>
      </w:r>
    </w:p>
    <w:p>
      <w:pPr>
        <w:spacing w:line="240" w:lineRule="auto"/>
        <w:ind w:firstLine="640" w:firstLineChars="200"/>
        <w:outlineLvl w:val="1"/>
        <w:rPr>
          <w:rFonts w:hint="eastAsia" w:ascii="黑体" w:hAnsi="黑体" w:eastAsia="黑体" w:cs="黑体"/>
          <w:bCs/>
          <w:kern w:val="0"/>
          <w:sz w:val="32"/>
          <w:szCs w:val="32"/>
        </w:rPr>
      </w:pPr>
      <w:bookmarkStart w:id="12" w:name="_Toc27961"/>
      <w:bookmarkStart w:id="13" w:name="_Toc13201"/>
      <w:r>
        <w:rPr>
          <w:rFonts w:hint="eastAsia" w:ascii="黑体" w:hAnsi="黑体" w:eastAsia="黑体" w:cs="黑体"/>
          <w:bCs/>
          <w:kern w:val="0"/>
          <w:sz w:val="32"/>
          <w:szCs w:val="32"/>
        </w:rPr>
        <w:t>三、支出决算情况说明</w:t>
      </w:r>
      <w:bookmarkEnd w:id="12"/>
      <w:bookmarkEnd w:id="13"/>
    </w:p>
    <w:p>
      <w:pPr>
        <w:spacing w:line="240" w:lineRule="auto"/>
        <w:ind w:firstLine="643" w:firstLineChars="200"/>
        <w:rPr>
          <w:rFonts w:hint="eastAsia" w:ascii="仿宋_GB2312" w:hAnsi="仿宋_GB2312" w:eastAsia="仿宋_GB2312" w:cs="仿宋_GB2312"/>
          <w:sz w:val="30"/>
          <w:szCs w:val="30"/>
          <w:lang w:val="zh-CN"/>
        </w:rPr>
      </w:pPr>
      <w:r>
        <w:rPr>
          <w:rFonts w:hint="eastAsia" w:ascii="仿宋_GB2312" w:hAnsi="仿宋_GB2312" w:eastAsia="仿宋_GB2312" w:cs="仿宋_GB2312"/>
          <w:b/>
          <w:bCs/>
          <w:sz w:val="32"/>
          <w:szCs w:val="32"/>
          <w:lang w:val="zh-CN"/>
        </w:rPr>
        <w:t>本年支出377.05万元，</w:t>
      </w:r>
      <w:r>
        <w:rPr>
          <w:rFonts w:hint="eastAsia" w:ascii="仿宋_GB2312" w:hAnsi="仿宋_GB2312" w:eastAsia="仿宋_GB2312" w:cs="仿宋_GB2312"/>
          <w:sz w:val="32"/>
          <w:szCs w:val="32"/>
          <w:lang w:val="zh-CN"/>
        </w:rPr>
        <w:t>其中：基本支出377.05万元，占100.00%；项目支出0.00万元，占0.00%；上缴上级支出0.00万元，占0.00%；经营支出0.00万元，占0.00%；对附属单位补助支出0.00万元，占0.00%。</w:t>
      </w:r>
    </w:p>
    <w:p>
      <w:pPr>
        <w:spacing w:line="240" w:lineRule="auto"/>
        <w:ind w:firstLine="640" w:firstLineChars="200"/>
        <w:outlineLvl w:val="1"/>
        <w:rPr>
          <w:rFonts w:hint="eastAsia" w:ascii="黑体" w:hAnsi="黑体" w:eastAsia="黑体" w:cs="黑体"/>
          <w:bCs/>
          <w:kern w:val="0"/>
          <w:sz w:val="32"/>
          <w:szCs w:val="32"/>
        </w:rPr>
      </w:pPr>
      <w:bookmarkStart w:id="14" w:name="_Toc4393"/>
      <w:bookmarkStart w:id="15" w:name="_Toc26564"/>
      <w:r>
        <w:rPr>
          <w:rFonts w:hint="eastAsia" w:ascii="黑体" w:hAnsi="黑体" w:eastAsia="黑体" w:cs="黑体"/>
          <w:bCs/>
          <w:kern w:val="0"/>
          <w:sz w:val="32"/>
          <w:szCs w:val="32"/>
        </w:rPr>
        <w:t>四、财政拨款收入支出决算总体情况说明</w:t>
      </w:r>
      <w:bookmarkEnd w:id="14"/>
      <w:bookmarkEnd w:id="15"/>
    </w:p>
    <w:p>
      <w:pPr>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2023年度财政拨款收入总计</w:t>
      </w:r>
      <w:r>
        <w:rPr>
          <w:rFonts w:hint="eastAsia" w:ascii="仿宋_GB2312" w:hAnsi="仿宋_GB2312" w:eastAsia="仿宋_GB2312" w:cs="仿宋_GB2312"/>
          <w:b/>
          <w:bCs/>
          <w:sz w:val="32"/>
          <w:szCs w:val="32"/>
          <w:lang w:val="zh-CN"/>
        </w:rPr>
        <w:t>212.78</w:t>
      </w:r>
      <w:r>
        <w:rPr>
          <w:rFonts w:hint="eastAsia" w:ascii="仿宋_GB2312" w:hAnsi="仿宋_GB2312" w:eastAsia="仿宋_GB2312" w:cs="仿宋_GB2312"/>
          <w:b/>
          <w:bCs/>
          <w:sz w:val="32"/>
          <w:szCs w:val="32"/>
        </w:rPr>
        <w:t>万元，</w:t>
      </w:r>
      <w:r>
        <w:rPr>
          <w:rFonts w:hint="eastAsia" w:ascii="仿宋_GB2312" w:hAnsi="仿宋_GB2312" w:eastAsia="仿宋_GB2312" w:cs="仿宋_GB2312"/>
          <w:sz w:val="32"/>
          <w:szCs w:val="32"/>
        </w:rPr>
        <w:t>其中：年初财政拨款结转和结余</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万元，本年财政拨款收入</w:t>
      </w:r>
      <w:r>
        <w:rPr>
          <w:rFonts w:hint="eastAsia" w:ascii="仿宋_GB2312" w:hAnsi="仿宋_GB2312" w:eastAsia="仿宋_GB2312" w:cs="仿宋_GB2312"/>
          <w:sz w:val="32"/>
          <w:szCs w:val="32"/>
          <w:lang w:val="zh-CN"/>
        </w:rPr>
        <w:t>212.78</w:t>
      </w:r>
      <w:r>
        <w:rPr>
          <w:rFonts w:hint="eastAsia" w:ascii="仿宋_GB2312" w:hAnsi="仿宋_GB2312" w:eastAsia="仿宋_GB2312" w:cs="仿宋_GB2312"/>
          <w:sz w:val="32"/>
          <w:szCs w:val="32"/>
        </w:rPr>
        <w:t>万元。财政拨款支出总计</w:t>
      </w:r>
      <w:r>
        <w:rPr>
          <w:rFonts w:hint="eastAsia" w:ascii="仿宋_GB2312" w:hAnsi="仿宋_GB2312" w:eastAsia="仿宋_GB2312" w:cs="仿宋_GB2312"/>
          <w:sz w:val="32"/>
          <w:szCs w:val="32"/>
          <w:lang w:val="zh-CN"/>
        </w:rPr>
        <w:t>212.78</w:t>
      </w:r>
      <w:r>
        <w:rPr>
          <w:rFonts w:hint="eastAsia" w:ascii="仿宋_GB2312" w:hAnsi="仿宋_GB2312" w:eastAsia="仿宋_GB2312" w:cs="仿宋_GB2312"/>
          <w:sz w:val="32"/>
          <w:szCs w:val="32"/>
        </w:rPr>
        <w:t>万元，其中：年末财政拨款结转和结余</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万元，本年财政拨款支出</w:t>
      </w:r>
      <w:r>
        <w:rPr>
          <w:rFonts w:hint="eastAsia" w:ascii="仿宋_GB2312" w:hAnsi="仿宋_GB2312" w:eastAsia="仿宋_GB2312" w:cs="仿宋_GB2312"/>
          <w:sz w:val="32"/>
          <w:szCs w:val="32"/>
          <w:lang w:val="zh-CN"/>
        </w:rPr>
        <w:t>212.78</w:t>
      </w:r>
      <w:r>
        <w:rPr>
          <w:rFonts w:hint="eastAsia" w:ascii="仿宋_GB2312" w:hAnsi="仿宋_GB2312" w:eastAsia="仿宋_GB2312" w:cs="仿宋_GB2312"/>
          <w:sz w:val="32"/>
          <w:szCs w:val="32"/>
        </w:rPr>
        <w:t>万元。</w:t>
      </w:r>
    </w:p>
    <w:p>
      <w:pPr>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财政拨款收入支出总体与上年相比,</w:t>
      </w:r>
      <w:r>
        <w:rPr>
          <w:rFonts w:hint="eastAsia" w:ascii="仿宋_GB2312" w:hAnsi="仿宋_GB2312" w:eastAsia="仿宋_GB2312" w:cs="仿宋_GB2312"/>
          <w:sz w:val="32"/>
          <w:szCs w:val="32"/>
          <w:lang w:val="zh-CN"/>
        </w:rPr>
        <w:t>减少928.45万元</w:t>
      </w:r>
      <w:r>
        <w:rPr>
          <w:rFonts w:hint="eastAsia" w:ascii="仿宋_GB2312" w:hAnsi="仿宋_GB2312" w:eastAsia="仿宋_GB2312" w:cs="仿宋_GB2312"/>
          <w:sz w:val="32"/>
          <w:szCs w:val="32"/>
        </w:rPr>
        <w:t>，下降81.36%,主要原因是：我校2023年无项目。</w:t>
      </w:r>
      <w:r>
        <w:rPr>
          <w:rFonts w:hint="eastAsia" w:ascii="仿宋_GB2312" w:hAnsi="仿宋_GB2312" w:eastAsia="仿宋_GB2312" w:cs="仿宋_GB2312"/>
          <w:b/>
          <w:bCs/>
          <w:sz w:val="32"/>
          <w:szCs w:val="32"/>
        </w:rPr>
        <w:t>与年初预算相比，</w:t>
      </w:r>
      <w:r>
        <w:rPr>
          <w:rFonts w:hint="eastAsia" w:ascii="仿宋_GB2312" w:hAnsi="仿宋_GB2312" w:eastAsia="仿宋_GB2312" w:cs="仿宋_GB2312"/>
          <w:sz w:val="32"/>
          <w:szCs w:val="32"/>
        </w:rPr>
        <w:t>年初预算数</w:t>
      </w:r>
      <w:r>
        <w:rPr>
          <w:rFonts w:hint="eastAsia" w:ascii="仿宋_GB2312" w:hAnsi="仿宋_GB2312" w:eastAsia="仿宋_GB2312" w:cs="仿宋_GB2312"/>
          <w:sz w:val="32"/>
          <w:szCs w:val="32"/>
          <w:lang w:val="zh-CN"/>
        </w:rPr>
        <w:t>173.12</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val="zh-CN"/>
        </w:rPr>
        <w:t>212.78</w:t>
      </w:r>
      <w:r>
        <w:rPr>
          <w:rFonts w:hint="eastAsia" w:ascii="仿宋_GB2312" w:hAnsi="仿宋_GB2312" w:eastAsia="仿宋_GB2312" w:cs="仿宋_GB2312"/>
          <w:sz w:val="32"/>
          <w:szCs w:val="32"/>
        </w:rPr>
        <w:t>万元，预决算差异率22.91%，主要原因是：2023年人才引进新招录1人，2023下半年事业编新招录人员1人，调入工勤岗1人。</w:t>
      </w:r>
    </w:p>
    <w:p>
      <w:pPr>
        <w:spacing w:line="600" w:lineRule="exact"/>
        <w:ind w:firstLine="640" w:firstLineChars="200"/>
        <w:outlineLvl w:val="1"/>
        <w:rPr>
          <w:rFonts w:hint="eastAsia" w:ascii="黑体" w:hAnsi="黑体" w:eastAsia="黑体" w:cs="黑体"/>
          <w:bCs/>
          <w:kern w:val="0"/>
          <w:sz w:val="32"/>
          <w:szCs w:val="32"/>
        </w:rPr>
      </w:pPr>
      <w:bookmarkStart w:id="16" w:name="_Toc20360"/>
      <w:bookmarkStart w:id="17" w:name="_Toc13833"/>
      <w:r>
        <w:rPr>
          <w:rFonts w:hint="eastAsia" w:ascii="黑体" w:hAnsi="黑体" w:eastAsia="黑体" w:cs="黑体"/>
          <w:bCs/>
          <w:kern w:val="0"/>
          <w:sz w:val="32"/>
          <w:szCs w:val="32"/>
        </w:rPr>
        <w:t>五、一般公共预算财政拨款支出决算情况说明</w:t>
      </w:r>
      <w:bookmarkEnd w:id="16"/>
      <w:bookmarkEnd w:id="17"/>
    </w:p>
    <w:p>
      <w:pPr>
        <w:spacing w:line="600" w:lineRule="exact"/>
        <w:ind w:firstLine="640" w:firstLineChars="200"/>
        <w:outlineLvl w:val="2"/>
        <w:rPr>
          <w:rFonts w:hint="eastAsia" w:ascii="黑体" w:hAnsi="黑体" w:eastAsia="黑体" w:cs="黑体"/>
          <w:sz w:val="32"/>
          <w:szCs w:val="32"/>
        </w:rPr>
      </w:pPr>
      <w:r>
        <w:rPr>
          <w:rFonts w:hint="eastAsia" w:ascii="黑体" w:hAnsi="黑体" w:eastAsia="黑体" w:cs="黑体"/>
          <w:sz w:val="32"/>
          <w:szCs w:val="32"/>
        </w:rPr>
        <w:t>（一）一般公共预算财政拨款支出决算总体情况</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2023年度一般公共预算财政拨款支出212.78万元，</w:t>
      </w:r>
      <w:r>
        <w:rPr>
          <w:rFonts w:hint="eastAsia" w:ascii="仿宋_GB2312" w:hAnsi="仿宋_GB2312" w:eastAsia="仿宋_GB2312" w:cs="仿宋_GB2312"/>
          <w:sz w:val="32"/>
          <w:szCs w:val="32"/>
        </w:rPr>
        <w:t>占本年支出合计的</w:t>
      </w:r>
      <w:r>
        <w:rPr>
          <w:rFonts w:hint="eastAsia" w:ascii="仿宋_GB2312" w:hAnsi="仿宋_GB2312" w:eastAsia="仿宋_GB2312" w:cs="仿宋_GB2312"/>
          <w:sz w:val="32"/>
          <w:szCs w:val="32"/>
          <w:lang w:val="zh-CN"/>
        </w:rPr>
        <w:t>56.43%</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与上年相比，</w:t>
      </w:r>
      <w:r>
        <w:rPr>
          <w:rFonts w:hint="eastAsia" w:ascii="仿宋_GB2312" w:hAnsi="仿宋_GB2312" w:eastAsia="仿宋_GB2312" w:cs="仿宋_GB2312"/>
          <w:sz w:val="32"/>
          <w:szCs w:val="32"/>
          <w:lang w:val="zh-CN"/>
        </w:rPr>
        <w:t>增加71.55万元</w:t>
      </w:r>
      <w:r>
        <w:rPr>
          <w:rFonts w:hint="eastAsia" w:ascii="仿宋_GB2312" w:hAnsi="仿宋_GB2312" w:eastAsia="仿宋_GB2312" w:cs="仿宋_GB2312"/>
          <w:sz w:val="32"/>
          <w:szCs w:val="32"/>
        </w:rPr>
        <w:t>，增长50.66%,主要原因是：2023年人才引进新招录1人，2023下半年事业编新招录人员1人，调入工勤岗1人。</w:t>
      </w:r>
      <w:r>
        <w:rPr>
          <w:rFonts w:hint="eastAsia" w:ascii="仿宋_GB2312" w:hAnsi="仿宋_GB2312" w:eastAsia="仿宋_GB2312" w:cs="仿宋_GB2312"/>
          <w:b/>
          <w:bCs/>
          <w:sz w:val="32"/>
          <w:szCs w:val="32"/>
        </w:rPr>
        <w:t>与年初预算相比，</w:t>
      </w:r>
      <w:r>
        <w:rPr>
          <w:rFonts w:hint="eastAsia" w:ascii="仿宋_GB2312" w:hAnsi="仿宋_GB2312" w:eastAsia="仿宋_GB2312" w:cs="仿宋_GB2312"/>
          <w:sz w:val="32"/>
          <w:szCs w:val="32"/>
        </w:rPr>
        <w:t>年初预算数</w:t>
      </w:r>
      <w:r>
        <w:rPr>
          <w:rFonts w:hint="eastAsia" w:ascii="仿宋_GB2312" w:hAnsi="仿宋_GB2312" w:eastAsia="仿宋_GB2312" w:cs="仿宋_GB2312"/>
          <w:sz w:val="32"/>
          <w:szCs w:val="32"/>
          <w:lang w:val="zh-CN"/>
        </w:rPr>
        <w:t>173.12</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val="zh-CN"/>
        </w:rPr>
        <w:t>212.78</w:t>
      </w:r>
      <w:r>
        <w:rPr>
          <w:rFonts w:hint="eastAsia" w:ascii="仿宋_GB2312" w:hAnsi="仿宋_GB2312" w:eastAsia="仿宋_GB2312" w:cs="仿宋_GB2312"/>
          <w:sz w:val="32"/>
          <w:szCs w:val="32"/>
        </w:rPr>
        <w:t>万元，预决算差异率</w:t>
      </w:r>
      <w:r>
        <w:rPr>
          <w:rFonts w:hint="eastAsia" w:ascii="仿宋_GB2312" w:hAnsi="仿宋_GB2312" w:eastAsia="仿宋_GB2312" w:cs="仿宋_GB2312"/>
          <w:sz w:val="32"/>
          <w:szCs w:val="32"/>
          <w:lang w:val="zh-CN"/>
        </w:rPr>
        <w:t>22.91%</w:t>
      </w:r>
      <w:r>
        <w:rPr>
          <w:rFonts w:hint="eastAsia" w:ascii="仿宋_GB2312" w:hAnsi="仿宋_GB2312" w:eastAsia="仿宋_GB2312" w:cs="仿宋_GB2312"/>
          <w:sz w:val="32"/>
          <w:szCs w:val="32"/>
        </w:rPr>
        <w:t>，主要原因是：2023年人才引进新招录1人，2023下半年事业编新招录人员1人，调入工勤岗1人。</w:t>
      </w:r>
    </w:p>
    <w:p>
      <w:pPr>
        <w:numPr>
          <w:ilvl w:val="0"/>
          <w:numId w:val="1"/>
        </w:numPr>
        <w:spacing w:line="240" w:lineRule="auto"/>
        <w:ind w:firstLine="640" w:firstLineChars="200"/>
        <w:outlineLvl w:val="2"/>
        <w:rPr>
          <w:rFonts w:hint="eastAsia" w:ascii="黑体" w:hAnsi="黑体" w:eastAsia="黑体" w:cs="黑体"/>
          <w:sz w:val="32"/>
          <w:szCs w:val="32"/>
        </w:rPr>
      </w:pPr>
      <w:r>
        <w:rPr>
          <w:rFonts w:hint="eastAsia" w:ascii="黑体" w:hAnsi="黑体" w:eastAsia="黑体" w:cs="黑体"/>
          <w:sz w:val="32"/>
          <w:szCs w:val="32"/>
        </w:rPr>
        <w:t>一般公共预算财政拨款支出决算结构情况</w:t>
      </w:r>
    </w:p>
    <w:p>
      <w:pPr>
        <w:pStyle w:val="10"/>
        <w:widowControl/>
        <w:spacing w:before="0" w:beforeAutospacing="0" w:after="0" w:afterAutospacing="0"/>
        <w:ind w:firstLine="640" w:firstLineChars="200"/>
        <w:jc w:val="both"/>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1</w:t>
      </w:r>
      <w:r>
        <w:rPr>
          <w:rFonts w:hint="eastAsia" w:ascii="仿宋_GB2312" w:hAnsi="仿宋_GB2312" w:eastAsia="仿宋_GB2312" w:cs="仿宋_GB2312"/>
          <w:kern w:val="2"/>
          <w:sz w:val="32"/>
          <w:szCs w:val="32"/>
          <w:lang w:val="zh-CN"/>
        </w:rPr>
        <w:t>.教育支出（类）171.79万元，占80.74%；</w:t>
      </w:r>
    </w:p>
    <w:p>
      <w:pPr>
        <w:pStyle w:val="10"/>
        <w:widowControl/>
        <w:spacing w:before="0" w:beforeAutospacing="0" w:after="0" w:afterAutospacing="0"/>
        <w:ind w:firstLine="640" w:firstLineChars="200"/>
        <w:jc w:val="both"/>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2</w:t>
      </w:r>
      <w:r>
        <w:rPr>
          <w:rFonts w:hint="eastAsia" w:ascii="仿宋_GB2312" w:hAnsi="仿宋_GB2312" w:eastAsia="仿宋_GB2312" w:cs="仿宋_GB2312"/>
          <w:kern w:val="2"/>
          <w:sz w:val="32"/>
          <w:szCs w:val="32"/>
          <w:lang w:val="zh-CN"/>
        </w:rPr>
        <w:t>.社会保障和就业支出（类）18.55万元，占8.72%；</w:t>
      </w:r>
    </w:p>
    <w:p>
      <w:pPr>
        <w:pStyle w:val="10"/>
        <w:widowControl/>
        <w:spacing w:before="0" w:beforeAutospacing="0" w:after="0" w:afterAutospacing="0"/>
        <w:ind w:firstLine="640" w:firstLineChars="200"/>
        <w:jc w:val="both"/>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3</w:t>
      </w:r>
      <w:r>
        <w:rPr>
          <w:rFonts w:hint="eastAsia" w:ascii="仿宋_GB2312" w:hAnsi="仿宋_GB2312" w:eastAsia="仿宋_GB2312" w:cs="仿宋_GB2312"/>
          <w:kern w:val="2"/>
          <w:sz w:val="32"/>
          <w:szCs w:val="32"/>
          <w:lang w:val="zh-CN"/>
        </w:rPr>
        <w:t>.卫生健康支出（类）8.20万元，占3.85%；</w:t>
      </w:r>
    </w:p>
    <w:p>
      <w:pPr>
        <w:pStyle w:val="10"/>
        <w:widowControl/>
        <w:spacing w:before="0" w:beforeAutospacing="0" w:after="0" w:afterAutospacing="0"/>
        <w:ind w:firstLine="640" w:firstLineChars="200"/>
        <w:jc w:val="both"/>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4</w:t>
      </w:r>
      <w:r>
        <w:rPr>
          <w:rFonts w:hint="eastAsia" w:ascii="仿宋_GB2312" w:hAnsi="仿宋_GB2312" w:eastAsia="仿宋_GB2312" w:cs="仿宋_GB2312"/>
          <w:kern w:val="2"/>
          <w:sz w:val="32"/>
          <w:szCs w:val="32"/>
          <w:lang w:val="zh-CN"/>
        </w:rPr>
        <w:t>.住房保障支出（类）14.24万元，占6.69%；</w:t>
      </w:r>
    </w:p>
    <w:p>
      <w:pPr>
        <w:spacing w:line="240" w:lineRule="auto"/>
        <w:ind w:firstLine="640" w:firstLineChars="200"/>
        <w:outlineLvl w:val="2"/>
        <w:rPr>
          <w:rFonts w:hint="eastAsia" w:ascii="黑体" w:hAnsi="黑体" w:eastAsia="黑体" w:cs="黑体"/>
          <w:sz w:val="32"/>
          <w:szCs w:val="32"/>
        </w:rPr>
      </w:pPr>
      <w:r>
        <w:rPr>
          <w:rFonts w:hint="eastAsia" w:ascii="黑体" w:hAnsi="黑体" w:eastAsia="黑体" w:cs="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1.卫生健康支出（类）行政事业单位医疗（款）事业单位医疗（项）:支出决算数为8.20万元，比上年决算增加2.06万元，增长33.55%，主要原因是：2023年有新招聘和调入人员</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2.住房保障支出（类）住房改革支出（款）住房公积金（项）:支出决算数为14.24万元，比上年决算增加4.19万元，增长41.68%，主要原因是：2023年有新招聘和调入人员</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3.教育支出（类）职业教育（款）技校教育（项）:支出决算数为171.79万元，比上年决算增加58.77万元，增长52.00%，主要原因是：2023年有新招聘和调入人员</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4.社会保障和就业支出（类）行政事业单位养老支出（款）机关事业单位基本养老保险缴费支出（项）:支出决算数为18.55万元，比上年决算增加6.53万元，增长54.33%，主要原因是：2023年有新招聘和调入人员</w:t>
      </w:r>
      <w:r>
        <w:rPr>
          <w:rFonts w:hint="eastAsia" w:ascii="仿宋_GB2312" w:hAnsi="仿宋_GB2312" w:eastAsia="仿宋_GB2312" w:cs="仿宋_GB2312"/>
          <w:sz w:val="32"/>
          <w:szCs w:val="32"/>
          <w:lang w:val="zh-CN"/>
        </w:rPr>
        <w:t>。</w:t>
      </w:r>
    </w:p>
    <w:p>
      <w:pPr>
        <w:spacing w:line="240" w:lineRule="auto"/>
        <w:ind w:firstLine="640" w:firstLineChars="200"/>
        <w:outlineLvl w:val="1"/>
        <w:rPr>
          <w:rFonts w:hint="eastAsia" w:ascii="黑体" w:hAnsi="黑体" w:eastAsia="黑体" w:cs="黑体"/>
          <w:bCs/>
          <w:kern w:val="0"/>
          <w:sz w:val="32"/>
          <w:szCs w:val="32"/>
        </w:rPr>
      </w:pPr>
      <w:r>
        <w:rPr>
          <w:rFonts w:hint="eastAsia" w:ascii="黑体" w:hAnsi="黑体" w:eastAsia="黑体" w:cs="黑体"/>
          <w:bCs/>
          <w:kern w:val="0"/>
          <w:sz w:val="32"/>
          <w:szCs w:val="32"/>
        </w:rPr>
        <w:t>六、一般公共预算财政拨款基本支出决算情况说明</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2023年度一般公共预算财政拨款基本支出212.78万元，其中：</w:t>
      </w:r>
      <w:r>
        <w:rPr>
          <w:rFonts w:hint="eastAsia" w:ascii="仿宋_GB2312" w:hAnsi="仿宋_GB2312" w:eastAsia="仿宋_GB2312" w:cs="仿宋_GB2312"/>
          <w:b/>
          <w:bCs/>
          <w:sz w:val="32"/>
          <w:szCs w:val="32"/>
        </w:rPr>
        <w:t>人员经费183.51万元，</w:t>
      </w:r>
      <w:r>
        <w:rPr>
          <w:rFonts w:hint="eastAsia" w:ascii="仿宋_GB2312" w:hAnsi="仿宋_GB2312" w:eastAsia="仿宋_GB2312" w:cs="仿宋_GB2312"/>
          <w:sz w:val="32"/>
          <w:szCs w:val="32"/>
        </w:rPr>
        <w:t>包括：基本工资、津贴补贴、奖金、绩效工资、机关事业单位基本养老保险缴费、职工基本医疗保险缴费、其他社会保障缴费、住房公积金、其他工资福利支出、生活补助。</w:t>
      </w:r>
    </w:p>
    <w:p>
      <w:pPr>
        <w:spacing w:line="240" w:lineRule="auto"/>
        <w:ind w:firstLine="643" w:firstLineChars="200"/>
        <w:rPr>
          <w:rFonts w:hint="eastAsia" w:ascii="仿宋_GB2312" w:hAnsi="仿宋_GB2312" w:eastAsia="仿宋_GB2312" w:cs="仿宋_GB2312"/>
          <w:sz w:val="32"/>
          <w:szCs w:val="32"/>
          <w:highlight w:val="red"/>
        </w:rPr>
      </w:pPr>
      <w:r>
        <w:rPr>
          <w:rFonts w:hint="eastAsia" w:ascii="仿宋_GB2312" w:hAnsi="仿宋_GB2312" w:eastAsia="仿宋_GB2312" w:cs="仿宋_GB2312"/>
          <w:b/>
          <w:bCs/>
          <w:sz w:val="32"/>
          <w:szCs w:val="32"/>
        </w:rPr>
        <w:t>公用经费29.27万元，</w:t>
      </w:r>
      <w:r>
        <w:rPr>
          <w:rFonts w:hint="eastAsia" w:ascii="仿宋_GB2312" w:hAnsi="仿宋_GB2312" w:eastAsia="仿宋_GB2312" w:cs="仿宋_GB2312"/>
          <w:sz w:val="32"/>
          <w:szCs w:val="32"/>
        </w:rPr>
        <w:t>包括：办公费、电费、邮电费、取暖费、维修（护）费、培训费、劳务费、工会经费。</w:t>
      </w:r>
    </w:p>
    <w:p>
      <w:pPr>
        <w:spacing w:line="240" w:lineRule="auto"/>
        <w:ind w:firstLine="640" w:firstLineChars="200"/>
        <w:outlineLvl w:val="1"/>
        <w:rPr>
          <w:rFonts w:hint="eastAsia" w:ascii="黑体" w:hAnsi="黑体" w:eastAsia="黑体" w:cs="黑体"/>
          <w:bCs/>
          <w:kern w:val="0"/>
          <w:sz w:val="32"/>
          <w:szCs w:val="32"/>
        </w:rPr>
      </w:pPr>
      <w:r>
        <w:rPr>
          <w:rFonts w:hint="eastAsia" w:ascii="黑体" w:hAnsi="黑体" w:eastAsia="黑体" w:cs="黑体"/>
          <w:bCs/>
          <w:kern w:val="0"/>
          <w:sz w:val="32"/>
          <w:szCs w:val="32"/>
        </w:rPr>
        <w:t>七、财政拨款“三公”经费支出决算情况说明</w:t>
      </w:r>
    </w:p>
    <w:p>
      <w:pPr>
        <w:spacing w:line="240" w:lineRule="auto"/>
        <w:ind w:firstLine="643"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b/>
          <w:bCs/>
          <w:sz w:val="32"/>
          <w:szCs w:val="32"/>
          <w:lang w:val="zh-CN"/>
        </w:rPr>
        <w:t>2023年度</w:t>
      </w:r>
      <w:r>
        <w:rPr>
          <w:rFonts w:hint="eastAsia" w:ascii="仿宋_GB2312" w:hAnsi="仿宋_GB2312" w:eastAsia="仿宋_GB2312" w:cs="仿宋_GB2312"/>
          <w:b/>
          <w:bCs/>
          <w:sz w:val="32"/>
          <w:szCs w:val="32"/>
        </w:rPr>
        <w:t>财政拨款</w:t>
      </w:r>
      <w:r>
        <w:rPr>
          <w:rFonts w:hint="eastAsia" w:ascii="仿宋_GB2312" w:hAnsi="仿宋_GB2312" w:eastAsia="仿宋_GB2312" w:cs="仿宋_GB2312"/>
          <w:b/>
          <w:bCs/>
          <w:sz w:val="32"/>
          <w:szCs w:val="32"/>
          <w:lang w:val="zh-CN"/>
        </w:rPr>
        <w:t>“三公”经费支出0.00万元，</w:t>
      </w:r>
      <w:r>
        <w:rPr>
          <w:rFonts w:hint="eastAsia" w:ascii="仿宋_GB2312" w:hAnsi="仿宋_GB2312" w:eastAsia="仿宋_GB2312" w:cs="仿宋_GB2312"/>
          <w:sz w:val="32"/>
          <w:szCs w:val="32"/>
        </w:rPr>
        <w:t>比上年</w:t>
      </w:r>
      <w:r>
        <w:rPr>
          <w:rFonts w:hint="eastAsia" w:ascii="仿宋_GB2312" w:hAnsi="仿宋_GB2312" w:eastAsia="仿宋_GB2312" w:cs="仿宋_GB2312"/>
          <w:sz w:val="32"/>
          <w:szCs w:val="32"/>
          <w:lang w:val="zh-CN"/>
        </w:rPr>
        <w:t>增加0.00万元，</w:t>
      </w:r>
      <w:r>
        <w:rPr>
          <w:rFonts w:hint="eastAsia" w:ascii="仿宋_GB2312" w:hAnsi="仿宋_GB2312" w:eastAsia="仿宋_GB2312" w:cs="仿宋_GB2312"/>
          <w:sz w:val="32"/>
          <w:szCs w:val="32"/>
        </w:rPr>
        <w:t>增长0.00%,</w:t>
      </w:r>
      <w:r>
        <w:rPr>
          <w:rFonts w:hint="eastAsia" w:ascii="仿宋_GB2312" w:hAnsi="仿宋_GB2312" w:eastAsia="仿宋_GB2312" w:cs="仿宋_GB2312"/>
          <w:sz w:val="32"/>
          <w:szCs w:val="32"/>
          <w:lang w:val="zh-CN"/>
        </w:rPr>
        <w:t>主要原因是：</w:t>
      </w:r>
      <w:r>
        <w:rPr>
          <w:rFonts w:hint="eastAsia" w:ascii="仿宋_GB2312" w:hAnsi="仿宋_GB2312" w:eastAsia="仿宋_GB2312" w:cs="仿宋_GB2312"/>
          <w:sz w:val="32"/>
          <w:szCs w:val="32"/>
        </w:rPr>
        <w:t>无差异，本单位2023年未安排“三公”经费</w:t>
      </w:r>
      <w:r>
        <w:rPr>
          <w:rFonts w:hint="eastAsia" w:ascii="仿宋_GB2312" w:hAnsi="仿宋_GB2312" w:eastAsia="仿宋_GB2312" w:cs="仿宋_GB2312"/>
          <w:sz w:val="32"/>
          <w:szCs w:val="32"/>
          <w:lang w:val="zh-CN"/>
        </w:rPr>
        <w:t>。其中：因公出国（境）费支出0.00万元，占0.00%，比上年增加0.00万元，</w:t>
      </w:r>
      <w:r>
        <w:rPr>
          <w:rFonts w:hint="eastAsia" w:ascii="仿宋_GB2312" w:hAnsi="仿宋_GB2312" w:eastAsia="仿宋_GB2312" w:cs="仿宋_GB2312"/>
          <w:sz w:val="32"/>
          <w:szCs w:val="32"/>
        </w:rPr>
        <w:t>增长0.00%,</w:t>
      </w:r>
      <w:r>
        <w:rPr>
          <w:rFonts w:hint="eastAsia" w:ascii="仿宋_GB2312" w:hAnsi="仿宋_GB2312" w:eastAsia="仿宋_GB2312" w:cs="仿宋_GB2312"/>
          <w:sz w:val="32"/>
          <w:szCs w:val="32"/>
          <w:lang w:val="zh-CN"/>
        </w:rPr>
        <w:t>主要原因是：</w:t>
      </w:r>
      <w:r>
        <w:rPr>
          <w:rFonts w:hint="eastAsia" w:ascii="仿宋_GB2312" w:hAnsi="仿宋_GB2312" w:eastAsia="仿宋_GB2312" w:cs="仿宋_GB2312"/>
          <w:sz w:val="32"/>
          <w:szCs w:val="32"/>
        </w:rPr>
        <w:t>无差异，本单位2023年未安排“三公”经费</w:t>
      </w:r>
      <w:r>
        <w:rPr>
          <w:rFonts w:hint="eastAsia" w:ascii="仿宋_GB2312" w:hAnsi="仿宋_GB2312" w:eastAsia="仿宋_GB2312" w:cs="仿宋_GB2312"/>
          <w:sz w:val="32"/>
          <w:szCs w:val="32"/>
          <w:lang w:val="zh-CN"/>
        </w:rPr>
        <w:t>；公务用车购置及运行维护费支出0.00万元，占0.00%，比上年增加0.00万元，</w:t>
      </w:r>
      <w:r>
        <w:rPr>
          <w:rFonts w:hint="eastAsia" w:ascii="仿宋_GB2312" w:hAnsi="仿宋_GB2312" w:eastAsia="仿宋_GB2312" w:cs="仿宋_GB2312"/>
          <w:sz w:val="32"/>
          <w:szCs w:val="32"/>
        </w:rPr>
        <w:t>增长0.00%,</w:t>
      </w:r>
      <w:r>
        <w:rPr>
          <w:rFonts w:hint="eastAsia" w:ascii="仿宋_GB2312" w:hAnsi="仿宋_GB2312" w:eastAsia="仿宋_GB2312" w:cs="仿宋_GB2312"/>
          <w:sz w:val="32"/>
          <w:szCs w:val="32"/>
          <w:lang w:val="zh-CN"/>
        </w:rPr>
        <w:t>主要原因是：</w:t>
      </w:r>
      <w:r>
        <w:rPr>
          <w:rFonts w:hint="eastAsia" w:ascii="仿宋_GB2312" w:hAnsi="仿宋_GB2312" w:eastAsia="仿宋_GB2312" w:cs="仿宋_GB2312"/>
          <w:sz w:val="32"/>
          <w:szCs w:val="32"/>
        </w:rPr>
        <w:t>无差异，本单位2023年未安排“三公”经费</w:t>
      </w:r>
      <w:r>
        <w:rPr>
          <w:rFonts w:hint="eastAsia" w:ascii="仿宋_GB2312" w:hAnsi="仿宋_GB2312" w:eastAsia="仿宋_GB2312" w:cs="仿宋_GB2312"/>
          <w:sz w:val="32"/>
          <w:szCs w:val="32"/>
          <w:lang w:val="zh-CN"/>
        </w:rPr>
        <w:t>；公务接待费支出0.00万元，占0.00%，比上年增加0.00万元，</w:t>
      </w:r>
      <w:r>
        <w:rPr>
          <w:rFonts w:hint="eastAsia" w:ascii="仿宋_GB2312" w:hAnsi="仿宋_GB2312" w:eastAsia="仿宋_GB2312" w:cs="仿宋_GB2312"/>
          <w:sz w:val="32"/>
          <w:szCs w:val="32"/>
        </w:rPr>
        <w:t>增长0.00%,</w:t>
      </w:r>
      <w:r>
        <w:rPr>
          <w:rFonts w:hint="eastAsia" w:ascii="仿宋_GB2312" w:hAnsi="仿宋_GB2312" w:eastAsia="仿宋_GB2312" w:cs="仿宋_GB2312"/>
          <w:sz w:val="32"/>
          <w:szCs w:val="32"/>
          <w:lang w:val="zh-CN"/>
        </w:rPr>
        <w:t>主要原因是：</w:t>
      </w:r>
      <w:r>
        <w:rPr>
          <w:rFonts w:hint="eastAsia" w:ascii="仿宋_GB2312" w:hAnsi="仿宋_GB2312" w:eastAsia="仿宋_GB2312" w:cs="仿宋_GB2312"/>
          <w:sz w:val="32"/>
          <w:szCs w:val="32"/>
        </w:rPr>
        <w:t>无差异，本单位2023年未安排“三公”经费</w:t>
      </w:r>
      <w:r>
        <w:rPr>
          <w:rFonts w:hint="eastAsia" w:ascii="仿宋_GB2312" w:hAnsi="仿宋_GB2312" w:eastAsia="仿宋_GB2312" w:cs="仿宋_GB2312"/>
          <w:sz w:val="32"/>
          <w:szCs w:val="32"/>
          <w:lang w:val="zh-CN"/>
        </w:rPr>
        <w:t>。</w:t>
      </w:r>
    </w:p>
    <w:p>
      <w:pPr>
        <w:spacing w:line="240" w:lineRule="auto"/>
        <w:ind w:firstLine="643" w:firstLineChars="200"/>
        <w:rPr>
          <w:rFonts w:hint="eastAsia"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val="zh-CN"/>
        </w:rPr>
        <w:t>具体情况如下：</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因公出国（境）费支出0.00万元，单位全年安排的因公出国（境）团组0个，因公出国（境）0人次。</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公务用车购置及运行维护费0.00万元，其中：公务用车购置费0.00万元，公务用车运行维护费0.00万元。公务用车购置数0辆，公务用车保有量0辆。国有资产占用情况</w:t>
      </w:r>
      <w:r>
        <w:rPr>
          <w:rFonts w:hint="eastAsia" w:ascii="仿宋_GB2312" w:hAnsi="仿宋_GB2312" w:eastAsia="仿宋_GB2312" w:cs="仿宋_GB2312"/>
          <w:sz w:val="32"/>
          <w:szCs w:val="32"/>
        </w:rPr>
        <w:t>中固定资产车辆</w:t>
      </w:r>
      <w:r>
        <w:rPr>
          <w:rFonts w:hint="eastAsia" w:ascii="仿宋_GB2312" w:hAnsi="仿宋_GB2312" w:eastAsia="仿宋_GB2312" w:cs="仿宋_GB2312"/>
          <w:sz w:val="32"/>
          <w:szCs w:val="32"/>
          <w:lang w:val="zh-CN"/>
        </w:rPr>
        <w:t>1辆，</w:t>
      </w:r>
      <w:r>
        <w:rPr>
          <w:rFonts w:hint="eastAsia" w:ascii="仿宋_GB2312" w:hAnsi="仿宋_GB2312" w:eastAsia="仿宋_GB2312" w:cs="仿宋_GB2312"/>
          <w:sz w:val="32"/>
          <w:szCs w:val="32"/>
        </w:rPr>
        <w:t>与</w:t>
      </w:r>
      <w:r>
        <w:rPr>
          <w:rFonts w:hint="eastAsia" w:ascii="仿宋_GB2312" w:hAnsi="仿宋_GB2312" w:eastAsia="仿宋_GB2312" w:cs="仿宋_GB2312"/>
          <w:sz w:val="32"/>
          <w:szCs w:val="32"/>
          <w:lang w:val="zh-CN"/>
        </w:rPr>
        <w:t>公务用车</w:t>
      </w:r>
      <w:r>
        <w:rPr>
          <w:rFonts w:hint="eastAsia" w:ascii="仿宋_GB2312" w:hAnsi="仿宋_GB2312" w:eastAsia="仿宋_GB2312" w:cs="仿宋_GB2312"/>
          <w:sz w:val="32"/>
          <w:szCs w:val="32"/>
        </w:rPr>
        <w:t>保有量差异</w:t>
      </w:r>
      <w:r>
        <w:rPr>
          <w:rFonts w:hint="eastAsia" w:ascii="仿宋_GB2312" w:hAnsi="仿宋_GB2312" w:eastAsia="仿宋_GB2312" w:cs="仿宋_GB2312"/>
          <w:sz w:val="32"/>
          <w:szCs w:val="32"/>
          <w:lang w:val="zh-CN"/>
        </w:rPr>
        <w:t>原因是：</w:t>
      </w:r>
      <w:r>
        <w:rPr>
          <w:rFonts w:hint="eastAsia" w:ascii="仿宋_GB2312" w:hAnsi="仿宋_GB2312" w:eastAsia="仿宋_GB2312" w:cs="仿宋_GB2312"/>
          <w:sz w:val="32"/>
          <w:szCs w:val="32"/>
        </w:rPr>
        <w:t>固定资产车辆为培训所需农机驾驶车辆</w:t>
      </w:r>
      <w:r>
        <w:rPr>
          <w:rFonts w:hint="eastAsia" w:ascii="仿宋_GB2312" w:hAnsi="仿宋_GB2312" w:eastAsia="仿宋_GB2312" w:cs="仿宋_GB2312"/>
          <w:sz w:val="32"/>
          <w:szCs w:val="32"/>
          <w:lang w:val="zh-CN"/>
        </w:rPr>
        <w:t>。</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公务接待费0.00万元，</w:t>
      </w:r>
      <w:r>
        <w:rPr>
          <w:rFonts w:hint="eastAsia" w:ascii="仿宋_GB2312" w:hAnsi="仿宋_GB2312" w:eastAsia="仿宋_GB2312" w:cs="仿宋_GB2312"/>
          <w:sz w:val="32"/>
          <w:szCs w:val="32"/>
        </w:rPr>
        <w:t>无</w:t>
      </w:r>
      <w:r>
        <w:rPr>
          <w:rFonts w:hint="eastAsia" w:ascii="仿宋_GB2312" w:hAnsi="仿宋_GB2312" w:eastAsia="仿宋_GB2312" w:cs="仿宋_GB2312"/>
          <w:sz w:val="32"/>
          <w:szCs w:val="32"/>
          <w:lang w:val="zh-CN"/>
        </w:rPr>
        <w:t>开支内容。单位全年安排的国内公务接待0批次，0人次。</w:t>
      </w:r>
    </w:p>
    <w:p>
      <w:pPr>
        <w:spacing w:line="240" w:lineRule="auto"/>
        <w:ind w:firstLine="643"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b/>
          <w:bCs/>
          <w:sz w:val="32"/>
          <w:szCs w:val="32"/>
          <w:lang w:val="zh-CN"/>
        </w:rPr>
        <w:t>与</w:t>
      </w:r>
      <w:r>
        <w:rPr>
          <w:rFonts w:hint="eastAsia" w:ascii="仿宋_GB2312" w:hAnsi="仿宋_GB2312" w:eastAsia="仿宋_GB2312" w:cs="仿宋_GB2312"/>
          <w:b/>
          <w:bCs/>
          <w:sz w:val="32"/>
          <w:szCs w:val="32"/>
        </w:rPr>
        <w:t>全年</w:t>
      </w:r>
      <w:r>
        <w:rPr>
          <w:rFonts w:hint="eastAsia" w:ascii="仿宋_GB2312" w:hAnsi="仿宋_GB2312" w:eastAsia="仿宋_GB2312" w:cs="仿宋_GB2312"/>
          <w:b/>
          <w:bCs/>
          <w:sz w:val="32"/>
          <w:szCs w:val="32"/>
          <w:lang w:val="zh-CN"/>
        </w:rPr>
        <w:t>预算相比</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lang w:val="zh-CN"/>
        </w:rPr>
        <w:t>财政拨款“三公”经费支出</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预算数0.00万元，决算数0.00万元，预决算差异率0.00%，主要原因是：</w:t>
      </w:r>
      <w:r>
        <w:rPr>
          <w:rFonts w:hint="eastAsia" w:ascii="仿宋_GB2312" w:hAnsi="仿宋_GB2312" w:eastAsia="仿宋_GB2312" w:cs="仿宋_GB2312"/>
          <w:sz w:val="32"/>
          <w:szCs w:val="32"/>
        </w:rPr>
        <w:t>无差异，本单位2023年未安排“三公”经费</w:t>
      </w:r>
      <w:r>
        <w:rPr>
          <w:rFonts w:hint="eastAsia" w:ascii="仿宋_GB2312" w:hAnsi="仿宋_GB2312" w:eastAsia="仿宋_GB2312" w:cs="仿宋_GB2312"/>
          <w:sz w:val="32"/>
          <w:szCs w:val="32"/>
          <w:lang w:val="zh-CN"/>
        </w:rPr>
        <w:t>。其中：因公出国（境）费</w:t>
      </w:r>
      <w:r>
        <w:rPr>
          <w:rFonts w:hint="eastAsia" w:ascii="仿宋_GB2312" w:hAnsi="仿宋_GB2312" w:eastAsia="仿宋_GB2312" w:cs="仿宋_GB2312"/>
          <w:sz w:val="32"/>
          <w:szCs w:val="32"/>
        </w:rPr>
        <w:t>全年预算数</w:t>
      </w:r>
      <w:r>
        <w:rPr>
          <w:rFonts w:hint="eastAsia" w:ascii="仿宋_GB2312" w:hAnsi="仿宋_GB2312" w:eastAsia="仿宋_GB2312" w:cs="仿宋_GB2312"/>
          <w:sz w:val="32"/>
          <w:szCs w:val="32"/>
          <w:lang w:val="zh-CN"/>
        </w:rPr>
        <w:t>0.00万元，决算数0.00万元，预决算差异率0.00%，主要原因是：</w:t>
      </w:r>
      <w:r>
        <w:rPr>
          <w:rFonts w:hint="eastAsia" w:ascii="仿宋_GB2312" w:hAnsi="仿宋_GB2312" w:eastAsia="仿宋_GB2312" w:cs="仿宋_GB2312"/>
          <w:sz w:val="32"/>
          <w:szCs w:val="32"/>
        </w:rPr>
        <w:t>无差异，本单位2023年未安排“三公”经费</w:t>
      </w:r>
      <w:r>
        <w:rPr>
          <w:rFonts w:hint="eastAsia" w:ascii="仿宋_GB2312" w:hAnsi="仿宋_GB2312" w:eastAsia="仿宋_GB2312" w:cs="仿宋_GB2312"/>
          <w:sz w:val="32"/>
          <w:szCs w:val="32"/>
          <w:lang w:val="zh-CN"/>
        </w:rPr>
        <w:t>；公务用车购置费</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预算数0.00万元，决算数0.00万元，预决算差异率0.00%，主要原因是：</w:t>
      </w:r>
      <w:r>
        <w:rPr>
          <w:rFonts w:hint="eastAsia" w:ascii="仿宋_GB2312" w:hAnsi="仿宋_GB2312" w:eastAsia="仿宋_GB2312" w:cs="仿宋_GB2312"/>
          <w:sz w:val="32"/>
          <w:szCs w:val="32"/>
        </w:rPr>
        <w:t>无差异，本单位2023年未安排“三公”经费；</w:t>
      </w:r>
      <w:r>
        <w:rPr>
          <w:rFonts w:hint="eastAsia" w:ascii="仿宋_GB2312" w:hAnsi="仿宋_GB2312" w:eastAsia="仿宋_GB2312" w:cs="仿宋_GB2312"/>
          <w:sz w:val="32"/>
          <w:szCs w:val="32"/>
          <w:lang w:val="zh-CN"/>
        </w:rPr>
        <w:t>公务用车运行费</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预算数0.00万元，决算数0.00万元，预决算差异率0.00%，主要原因是：</w:t>
      </w:r>
      <w:r>
        <w:rPr>
          <w:rFonts w:hint="eastAsia" w:ascii="仿宋_GB2312" w:hAnsi="仿宋_GB2312" w:eastAsia="仿宋_GB2312" w:cs="仿宋_GB2312"/>
          <w:sz w:val="32"/>
          <w:szCs w:val="32"/>
        </w:rPr>
        <w:t>无差异，本单位2023年未安排“三公”经费</w:t>
      </w:r>
      <w:r>
        <w:rPr>
          <w:rFonts w:hint="eastAsia" w:ascii="仿宋_GB2312" w:hAnsi="仿宋_GB2312" w:eastAsia="仿宋_GB2312" w:cs="仿宋_GB2312"/>
          <w:sz w:val="32"/>
          <w:szCs w:val="32"/>
          <w:lang w:val="zh-CN"/>
        </w:rPr>
        <w:t>；公务接待费</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预算数0.00万元，决算数0.00万元，预决算差异率0.00%，主要原因是：</w:t>
      </w:r>
      <w:r>
        <w:rPr>
          <w:rFonts w:hint="eastAsia" w:ascii="仿宋_GB2312" w:hAnsi="仿宋_GB2312" w:eastAsia="仿宋_GB2312" w:cs="仿宋_GB2312"/>
          <w:sz w:val="32"/>
          <w:szCs w:val="32"/>
        </w:rPr>
        <w:t>无差异，本单位2023年未安排“三公”经费</w:t>
      </w:r>
      <w:r>
        <w:rPr>
          <w:rFonts w:hint="eastAsia" w:ascii="仿宋_GB2312" w:hAnsi="仿宋_GB2312" w:eastAsia="仿宋_GB2312" w:cs="仿宋_GB2312"/>
          <w:sz w:val="32"/>
          <w:szCs w:val="32"/>
          <w:lang w:val="zh-CN"/>
        </w:rPr>
        <w:t>。</w:t>
      </w:r>
    </w:p>
    <w:p>
      <w:pPr>
        <w:spacing w:line="240" w:lineRule="auto"/>
        <w:ind w:firstLine="640" w:firstLineChars="200"/>
        <w:outlineLvl w:val="1"/>
        <w:rPr>
          <w:rFonts w:hint="eastAsia" w:ascii="黑体" w:hAnsi="黑体" w:eastAsia="黑体" w:cs="黑体"/>
          <w:bCs/>
          <w:kern w:val="0"/>
          <w:sz w:val="32"/>
          <w:szCs w:val="32"/>
        </w:rPr>
      </w:pPr>
      <w:bookmarkStart w:id="18" w:name="_Toc5810"/>
      <w:bookmarkStart w:id="19" w:name="_Toc7927"/>
      <w:r>
        <w:rPr>
          <w:rFonts w:hint="eastAsia" w:ascii="黑体" w:hAnsi="黑体" w:eastAsia="黑体" w:cs="黑体"/>
          <w:bCs/>
          <w:kern w:val="0"/>
          <w:sz w:val="32"/>
          <w:szCs w:val="32"/>
        </w:rPr>
        <w:t>八、政府性基金预算财政拨款收入支出决算情况说明</w:t>
      </w:r>
      <w:bookmarkEnd w:id="18"/>
      <w:bookmarkEnd w:id="19"/>
    </w:p>
    <w:p>
      <w:pPr>
        <w:spacing w:line="240" w:lineRule="auto"/>
        <w:ind w:firstLine="643"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zh-CN"/>
        </w:rPr>
        <w:t>2023年度政府性基金预算财政拨款收入0.00万元，</w:t>
      </w:r>
      <w:r>
        <w:rPr>
          <w:rFonts w:hint="eastAsia" w:ascii="仿宋_GB2312" w:hAnsi="仿宋_GB2312" w:eastAsia="仿宋_GB2312" w:cs="仿宋_GB2312"/>
          <w:sz w:val="32"/>
          <w:szCs w:val="32"/>
        </w:rPr>
        <w:t>政府性基金预算财政拨款收入与上年相比，减少1,000.00万元,下降100.00%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本单位2023年未安排政府性基金项目。</w:t>
      </w:r>
      <w:r>
        <w:rPr>
          <w:rFonts w:hint="eastAsia" w:ascii="仿宋_GB2312" w:hAnsi="仿宋_GB2312" w:eastAsia="仿宋_GB2312" w:cs="仿宋_GB2312"/>
          <w:sz w:val="32"/>
          <w:szCs w:val="32"/>
        </w:rPr>
        <w:t>与年初预算相比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年初预算数0.00万元，决算数0.00万元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预决算差异率0.00%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无差异，</w:t>
      </w:r>
      <w:bookmarkStart w:id="48" w:name="_GoBack"/>
      <w:bookmarkEnd w:id="48"/>
      <w:r>
        <w:rPr>
          <w:rFonts w:hint="eastAsia" w:ascii="仿宋_GB2312" w:hAnsi="仿宋_GB2312" w:eastAsia="仿宋_GB2312" w:cs="仿宋_GB2312"/>
          <w:sz w:val="32"/>
          <w:szCs w:val="32"/>
          <w:lang w:val="en-US" w:eastAsia="zh-CN"/>
        </w:rPr>
        <w:t>本单位2023年未安排政府性基金预算财政拨款收入</w:t>
      </w:r>
      <w:r>
        <w:rPr>
          <w:rFonts w:hint="eastAsia" w:ascii="仿宋_GB2312" w:hAnsi="仿宋_GB2312" w:eastAsia="仿宋_GB2312" w:cs="仿宋_GB2312"/>
          <w:sz w:val="32"/>
          <w:szCs w:val="32"/>
        </w:rPr>
        <w:t>。</w:t>
      </w:r>
    </w:p>
    <w:p>
      <w:pPr>
        <w:spacing w:line="240" w:lineRule="auto"/>
        <w:ind w:firstLine="640"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2023年度</w:t>
      </w:r>
      <w:r>
        <w:rPr>
          <w:rFonts w:hint="eastAsia" w:ascii="仿宋_GB2312" w:hAnsi="仿宋_GB2312" w:eastAsia="仿宋_GB2312" w:cs="仿宋_GB2312"/>
          <w:sz w:val="32"/>
          <w:szCs w:val="32"/>
        </w:rPr>
        <w:t>政府性基金预算财政拨款支出0.00万元。</w:t>
      </w:r>
    </w:p>
    <w:p>
      <w:pPr>
        <w:spacing w:line="240" w:lineRule="auto"/>
        <w:ind w:firstLine="640"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1.其他支出（类）其他政府性基金及对应专项债务收入安排的支出（款）其他地方自行试点项目收益专项债券收入安排的支出（项）:支出决算数为0.00万元，比上年决算减少1,000.00万元，下降100%，主要原因是</w:t>
      </w:r>
      <w:r>
        <w:rPr>
          <w:rFonts w:hint="eastAsia" w:ascii="仿宋_GB2312" w:hAnsi="仿宋_GB2312" w:eastAsia="仿宋_GB2312" w:cs="仿宋_GB2312"/>
          <w:sz w:val="32"/>
          <w:szCs w:val="32"/>
          <w:lang w:val="en-US" w:eastAsia="zh-CN"/>
        </w:rPr>
        <w:t>本单位2023年未安排政府性基金项目</w:t>
      </w:r>
      <w:r>
        <w:rPr>
          <w:rFonts w:hint="eastAsia" w:ascii="仿宋_GB2312" w:hAnsi="仿宋_GB2312" w:eastAsia="仿宋_GB2312" w:cs="仿宋_GB2312"/>
          <w:sz w:val="32"/>
          <w:szCs w:val="32"/>
        </w:rPr>
        <w:t>。</w:t>
      </w:r>
    </w:p>
    <w:p>
      <w:pPr>
        <w:spacing w:line="240" w:lineRule="auto"/>
        <w:ind w:firstLine="640" w:firstLineChars="200"/>
        <w:outlineLvl w:val="1"/>
        <w:rPr>
          <w:rFonts w:hint="eastAsia" w:ascii="黑体" w:hAnsi="黑体" w:eastAsia="黑体" w:cs="黑体"/>
          <w:bCs/>
          <w:kern w:val="0"/>
          <w:sz w:val="32"/>
          <w:szCs w:val="32"/>
        </w:rPr>
      </w:pPr>
      <w:r>
        <w:rPr>
          <w:rFonts w:hint="eastAsia" w:ascii="黑体" w:hAnsi="黑体" w:eastAsia="黑体" w:cs="黑体"/>
          <w:bCs/>
          <w:kern w:val="0"/>
          <w:sz w:val="32"/>
          <w:szCs w:val="32"/>
        </w:rPr>
        <w:t>九、国有资本经营预算财政拨款收入支出决算情况说明</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我单位本年度无国有资本经营预算财政拨款收入、支出及结转和结余，国有资本经营预算财政拨款收入支出决算表为空表。</w:t>
      </w:r>
    </w:p>
    <w:p>
      <w:pPr>
        <w:spacing w:line="240" w:lineRule="auto"/>
        <w:ind w:firstLine="640" w:firstLineChars="200"/>
        <w:outlineLvl w:val="1"/>
        <w:rPr>
          <w:rFonts w:hint="eastAsia" w:ascii="黑体" w:hAnsi="黑体" w:eastAsia="黑体" w:cs="黑体"/>
          <w:bCs/>
          <w:kern w:val="0"/>
          <w:sz w:val="32"/>
          <w:szCs w:val="32"/>
        </w:rPr>
      </w:pPr>
      <w:bookmarkStart w:id="20" w:name="_Toc7314"/>
      <w:bookmarkStart w:id="21" w:name="_Toc1235"/>
      <w:r>
        <w:rPr>
          <w:rFonts w:hint="eastAsia" w:ascii="黑体" w:hAnsi="黑体" w:eastAsia="黑体" w:cs="黑体"/>
          <w:bCs/>
          <w:kern w:val="0"/>
          <w:sz w:val="32"/>
          <w:szCs w:val="32"/>
        </w:rPr>
        <w:t>十、其他重要事项的情况说明</w:t>
      </w:r>
      <w:bookmarkEnd w:id="20"/>
      <w:bookmarkEnd w:id="21"/>
    </w:p>
    <w:p>
      <w:pPr>
        <w:spacing w:line="240" w:lineRule="auto"/>
        <w:ind w:firstLine="640" w:firstLineChars="200"/>
        <w:outlineLvl w:val="2"/>
        <w:rPr>
          <w:rFonts w:hint="eastAsia" w:ascii="黑体" w:hAnsi="黑体" w:eastAsia="黑体" w:cs="黑体"/>
          <w:sz w:val="32"/>
          <w:szCs w:val="32"/>
        </w:rPr>
      </w:pPr>
      <w:bookmarkStart w:id="22" w:name="_Toc14519"/>
      <w:bookmarkStart w:id="23" w:name="_Toc13105"/>
      <w:r>
        <w:rPr>
          <w:rFonts w:hint="eastAsia" w:ascii="黑体" w:hAnsi="黑体" w:eastAsia="黑体" w:cs="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裕民县技工学校</w:t>
      </w:r>
      <w:r>
        <w:rPr>
          <w:rFonts w:hint="eastAsia" w:ascii="仿宋_GB2312" w:hAnsi="仿宋_GB2312" w:eastAsia="仿宋_GB2312" w:cs="仿宋_GB2312"/>
          <w:sz w:val="32"/>
          <w:szCs w:val="32"/>
          <w:lang w:val="zh-CN"/>
        </w:rPr>
        <w:t>（事业单位）公用经费支出29.27万元，比上年增加21.45万元，增长274.30%，主要原因是：</w:t>
      </w:r>
      <w:r>
        <w:rPr>
          <w:rFonts w:hint="eastAsia" w:ascii="仿宋_GB2312" w:hAnsi="仿宋_GB2312" w:eastAsia="仿宋_GB2312" w:cs="仿宋_GB2312"/>
          <w:sz w:val="32"/>
          <w:szCs w:val="32"/>
        </w:rPr>
        <w:t>本单位2023年有新招录和调入人员</w:t>
      </w:r>
      <w:r>
        <w:rPr>
          <w:rFonts w:hint="eastAsia" w:ascii="仿宋_GB2312" w:hAnsi="仿宋_GB2312" w:eastAsia="仿宋_GB2312" w:cs="仿宋_GB2312"/>
          <w:sz w:val="32"/>
          <w:szCs w:val="32"/>
          <w:lang w:val="zh-CN"/>
        </w:rPr>
        <w:t>。</w:t>
      </w:r>
    </w:p>
    <w:p>
      <w:pPr>
        <w:spacing w:line="240" w:lineRule="auto"/>
        <w:ind w:firstLine="640" w:firstLineChars="200"/>
        <w:outlineLvl w:val="2"/>
        <w:rPr>
          <w:rFonts w:hint="eastAsia" w:ascii="黑体" w:hAnsi="黑体" w:eastAsia="黑体" w:cs="黑体"/>
          <w:sz w:val="32"/>
          <w:szCs w:val="30"/>
          <w:lang w:val="zh-CN"/>
        </w:rPr>
      </w:pPr>
      <w:r>
        <w:rPr>
          <w:rFonts w:hint="eastAsia" w:ascii="黑体" w:hAnsi="黑体" w:eastAsia="黑体" w:cs="黑体"/>
          <w:sz w:val="32"/>
          <w:szCs w:val="30"/>
          <w:lang w:val="zh-CN"/>
        </w:rPr>
        <w:t>（二）政府采购情况</w:t>
      </w:r>
      <w:bookmarkEnd w:id="24"/>
      <w:bookmarkEnd w:id="25"/>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2023年度政府采购支出总额0.12万元，其中：政府采购货物支出0.12万元、政府采购工程支出0.00万元、政府采购服务支出0.00万元。</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授予中小企业合同金额0.12万元，占政府采购支出总额的100.00%，其中：授予小微企业合同金额0.12万元，占政府采购支出总额的100.00%</w:t>
      </w:r>
      <w:r>
        <w:rPr>
          <w:rFonts w:hint="eastAsia" w:ascii="仿宋_GB2312" w:hAnsi="仿宋_GB2312" w:eastAsia="仿宋_GB2312" w:cs="仿宋_GB2312"/>
          <w:sz w:val="32"/>
          <w:szCs w:val="32"/>
        </w:rPr>
        <w:t>。</w:t>
      </w:r>
    </w:p>
    <w:p>
      <w:pPr>
        <w:spacing w:line="240" w:lineRule="auto"/>
        <w:ind w:firstLine="640" w:firstLineChars="200"/>
        <w:outlineLvl w:val="2"/>
        <w:rPr>
          <w:rFonts w:hint="eastAsia" w:ascii="黑体" w:hAnsi="黑体" w:eastAsia="黑体" w:cs="黑体"/>
          <w:sz w:val="32"/>
          <w:szCs w:val="30"/>
          <w:lang w:val="zh-CN"/>
        </w:rPr>
      </w:pPr>
      <w:bookmarkStart w:id="26" w:name="_Toc4591"/>
      <w:bookmarkStart w:id="27" w:name="_Toc8391"/>
      <w:r>
        <w:rPr>
          <w:rFonts w:hint="eastAsia" w:ascii="黑体" w:hAnsi="黑体" w:eastAsia="黑体" w:cs="黑体"/>
          <w:sz w:val="32"/>
          <w:szCs w:val="30"/>
          <w:lang w:val="zh-CN"/>
        </w:rPr>
        <w:t>（三）国有资产占用情况说明</w:t>
      </w:r>
      <w:bookmarkEnd w:id="26"/>
      <w:bookmarkEnd w:id="27"/>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207.10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屋0.0平方米，价值0.00万元。车辆1辆，价值6.50万元，其中：副部（省）级及以上领导用车0辆、主要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w:t>
      </w:r>
      <w:r>
        <w:rPr>
          <w:rFonts w:hint="eastAsia" w:ascii="仿宋_GB2312" w:hAnsi="仿宋_GB2312" w:eastAsia="仿宋_GB2312" w:cs="仿宋_GB2312"/>
          <w:sz w:val="32"/>
          <w:szCs w:val="32"/>
        </w:rPr>
        <w:t>其他车辆用于农机驾驶相关培训</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w:t>
      </w:r>
    </w:p>
    <w:p>
      <w:pPr>
        <w:spacing w:line="240" w:lineRule="auto"/>
        <w:ind w:firstLine="640" w:firstLineChars="200"/>
        <w:outlineLvl w:val="1"/>
        <w:rPr>
          <w:rFonts w:hint="eastAsia" w:ascii="黑体" w:hAnsi="黑体" w:eastAsia="黑体" w:cs="黑体"/>
          <w:bCs/>
          <w:kern w:val="0"/>
          <w:sz w:val="32"/>
          <w:szCs w:val="32"/>
        </w:rPr>
      </w:pPr>
      <w:bookmarkStart w:id="28" w:name="_Toc11283"/>
      <w:bookmarkStart w:id="29" w:name="_Toc435"/>
      <w:r>
        <w:rPr>
          <w:rFonts w:hint="eastAsia" w:ascii="黑体" w:hAnsi="黑体" w:eastAsia="黑体" w:cs="黑体"/>
          <w:bCs/>
          <w:kern w:val="0"/>
          <w:sz w:val="32"/>
          <w:szCs w:val="32"/>
        </w:rPr>
        <w:t>十一、预算绩效的情况说明</w:t>
      </w:r>
      <w:bookmarkEnd w:id="28"/>
      <w:bookmarkEnd w:id="29"/>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hAnsi="仿宋_GB2312" w:eastAsia="仿宋_GB2312" w:cs="仿宋_GB2312"/>
          <w:sz w:val="32"/>
          <w:szCs w:val="32"/>
        </w:rPr>
        <w:t>1</w:t>
      </w:r>
      <w:r>
        <w:rPr>
          <w:rFonts w:hint="eastAsia" w:ascii="仿宋_GB2312" w:hAnsi="仿宋_GB2312" w:eastAsia="仿宋_GB2312" w:cs="仿宋_GB2312"/>
          <w:kern w:val="0"/>
          <w:sz w:val="32"/>
          <w:szCs w:val="32"/>
        </w:rPr>
        <w:t>个，全年</w:t>
      </w:r>
      <w:r>
        <w:rPr>
          <w:rFonts w:hint="eastAsia" w:ascii="仿宋_GB2312" w:hAnsi="仿宋_GB2312" w:eastAsia="仿宋_GB2312" w:cs="仿宋_GB2312"/>
          <w:sz w:val="32"/>
          <w:szCs w:val="32"/>
        </w:rPr>
        <w:t>预算总额386.10万元，实际执行总额377.05万元</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预算绩效评价项目0个，全年预算数0万元，全年执行数0万元。预算绩效管理取得的成效：一是绩效管理有效提升工作质量，确保了资金合理安排并及时了解资金支出效率；二是强化了责任意识，推动了单位效能的提升。发现的问题及原因：一是绩效目标安排不够全面，责任意识有待提升；二是预算制定不合理，无法准确预测市场变化。下一步改进措施：一是加强事前绩效评估与项目评审的协调统一；二是提高预算绩效目标填报的责任心和准确性。具体项目自评情况附绩效自评表及自评报告。</w:t>
      </w:r>
    </w:p>
    <w:p>
      <w:pPr>
        <w:spacing w:line="240" w:lineRule="auto"/>
        <w:ind w:firstLine="640" w:firstLineChars="200"/>
        <w:outlineLvl w:val="1"/>
        <w:rPr>
          <w:rFonts w:hint="eastAsia" w:ascii="黑体" w:hAnsi="黑体" w:eastAsia="黑体" w:cs="黑体"/>
          <w:bCs/>
          <w:kern w:val="0"/>
          <w:sz w:val="32"/>
          <w:szCs w:val="32"/>
        </w:rPr>
      </w:pPr>
      <w:r>
        <w:rPr>
          <w:rFonts w:hint="eastAsia" w:ascii="黑体" w:hAnsi="黑体" w:eastAsia="黑体" w:cs="黑体"/>
          <w:bCs/>
          <w:kern w:val="0"/>
          <w:sz w:val="32"/>
          <w:szCs w:val="32"/>
        </w:rPr>
        <w:t>十二、其他需说明的事项</w:t>
      </w:r>
    </w:p>
    <w:p>
      <w:pPr>
        <w:spacing w:line="24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spacing w:line="240" w:lineRule="auto"/>
        <w:jc w:val="center"/>
        <w:outlineLvl w:val="0"/>
        <w:rPr>
          <w:rFonts w:hint="eastAsia" w:ascii="仿宋_GB2312" w:hAnsi="仿宋_GB2312" w:eastAsia="仿宋_GB2312" w:cs="仿宋_GB2312"/>
          <w:sz w:val="32"/>
          <w:szCs w:val="32"/>
        </w:rPr>
      </w:pPr>
      <w:bookmarkStart w:id="30" w:name="_Toc24143"/>
      <w:bookmarkStart w:id="31" w:name="_Toc3250"/>
      <w:r>
        <w:rPr>
          <w:rFonts w:hint="eastAsia" w:ascii="仿宋_GB2312" w:hAnsi="仿宋_GB2312" w:eastAsia="仿宋_GB2312" w:cs="仿宋_GB2312"/>
          <w:sz w:val="32"/>
          <w:szCs w:val="32"/>
        </w:rPr>
        <w:br w:type="page"/>
      </w:r>
      <w:r>
        <w:rPr>
          <w:rFonts w:hint="eastAsia" w:ascii="黑体" w:hAnsi="黑体" w:eastAsia="黑体" w:cs="黑体"/>
          <w:sz w:val="32"/>
          <w:szCs w:val="32"/>
        </w:rPr>
        <w:t>第三部分 专业名词解释</w:t>
      </w:r>
      <w:bookmarkEnd w:id="30"/>
      <w:bookmarkEnd w:id="31"/>
    </w:p>
    <w:p>
      <w:pPr>
        <w:autoSpaceDE w:val="0"/>
        <w:autoSpaceDN w:val="0"/>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一、财政拨款收入：</w:t>
      </w:r>
      <w:r>
        <w:rPr>
          <w:rFonts w:hint="eastAsia" w:ascii="仿宋_GB2312" w:hAnsi="仿宋_GB2312" w:eastAsia="仿宋_GB2312" w:cs="仿宋_GB2312"/>
          <w:sz w:val="32"/>
          <w:szCs w:val="32"/>
        </w:rPr>
        <w:t>指同级财政当年拨付的资金。</w:t>
      </w:r>
    </w:p>
    <w:p>
      <w:pPr>
        <w:autoSpaceDE w:val="0"/>
        <w:autoSpaceDN w:val="0"/>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二、上级补助收入：</w:t>
      </w:r>
      <w:r>
        <w:rPr>
          <w:rFonts w:hint="eastAsia" w:ascii="仿宋_GB2312" w:hAnsi="仿宋_GB2312" w:eastAsia="仿宋_GB2312" w:cs="仿宋_GB2312"/>
          <w:sz w:val="32"/>
          <w:szCs w:val="32"/>
        </w:rPr>
        <w:t>指事业单位从主管部门和上级单位取得的非财政补助收入。</w:t>
      </w:r>
    </w:p>
    <w:p>
      <w:pPr>
        <w:autoSpaceDE w:val="0"/>
        <w:autoSpaceDN w:val="0"/>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三、事业收入：</w:t>
      </w:r>
      <w:r>
        <w:rPr>
          <w:rFonts w:hint="eastAsia" w:ascii="仿宋_GB2312" w:hAnsi="仿宋_GB2312" w:eastAsia="仿宋_GB2312" w:cs="仿宋_GB2312"/>
          <w:sz w:val="32"/>
          <w:szCs w:val="32"/>
        </w:rPr>
        <w:t>指事业单位开展专业业务活动及其辅助活动所取得的收入。</w:t>
      </w:r>
    </w:p>
    <w:p>
      <w:pPr>
        <w:autoSpaceDE w:val="0"/>
        <w:autoSpaceDN w:val="0"/>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四、经营收入：</w:t>
      </w:r>
      <w:r>
        <w:rPr>
          <w:rFonts w:hint="eastAsia" w:ascii="仿宋_GB2312" w:hAnsi="仿宋_GB2312" w:eastAsia="仿宋_GB2312" w:cs="仿宋_GB2312"/>
          <w:sz w:val="32"/>
          <w:szCs w:val="32"/>
        </w:rPr>
        <w:t>指事业单位在专业业务活动及其辅助活动之外开展非独立核算经营活动取得的收入。</w:t>
      </w:r>
    </w:p>
    <w:p>
      <w:pPr>
        <w:autoSpaceDE w:val="0"/>
        <w:autoSpaceDN w:val="0"/>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五、附属单位上缴收入：</w:t>
      </w:r>
      <w:r>
        <w:rPr>
          <w:rFonts w:hint="eastAsia" w:ascii="仿宋_GB2312" w:hAnsi="仿宋_GB2312" w:eastAsia="仿宋_GB2312" w:cs="仿宋_GB2312"/>
          <w:sz w:val="32"/>
          <w:szCs w:val="32"/>
        </w:rPr>
        <w:t>指事业单位附属的独立核算单位按有关规定上缴的收入。</w:t>
      </w:r>
    </w:p>
    <w:p>
      <w:pPr>
        <w:autoSpaceDE w:val="0"/>
        <w:autoSpaceDN w:val="0"/>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六、其他收入：</w:t>
      </w:r>
      <w:r>
        <w:rPr>
          <w:rFonts w:hint="eastAsia" w:ascii="仿宋_GB2312" w:hAnsi="仿宋_GB2312" w:eastAsia="仿宋_GB2312" w:cs="仿宋_GB2312"/>
          <w:sz w:val="32"/>
          <w:szCs w:val="32"/>
        </w:rPr>
        <w:t>指除上述“财政拨款收入”、“事业收入”、“经营收入”、“附属单位上缴收入”等之外取得的收入。</w:t>
      </w:r>
    </w:p>
    <w:p>
      <w:pPr>
        <w:autoSpaceDE w:val="0"/>
        <w:autoSpaceDN w:val="0"/>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七、年初结转和结余：</w:t>
      </w:r>
      <w:r>
        <w:rPr>
          <w:rFonts w:hint="eastAsia" w:ascii="仿宋_GB2312" w:hAnsi="仿宋_GB2312" w:eastAsia="仿宋_GB2312" w:cs="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八、年末结转和结余：</w:t>
      </w:r>
      <w:r>
        <w:rPr>
          <w:rFonts w:hint="eastAsia" w:ascii="仿宋_GB2312" w:hAnsi="仿宋_GB2312" w:eastAsia="仿宋_GB2312" w:cs="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九、基本支出：</w:t>
      </w:r>
      <w:r>
        <w:rPr>
          <w:rFonts w:hint="eastAsia" w:ascii="仿宋_GB2312" w:hAnsi="仿宋_GB2312" w:eastAsia="仿宋_GB2312" w:cs="仿宋_GB2312"/>
          <w:sz w:val="32"/>
          <w:szCs w:val="32"/>
        </w:rPr>
        <w:t>指为保障机构正常运转、完成日常工作任务而发生的人员支出和公用支出。</w:t>
      </w:r>
    </w:p>
    <w:p>
      <w:pPr>
        <w:autoSpaceDE w:val="0"/>
        <w:autoSpaceDN w:val="0"/>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十、项目支出：</w:t>
      </w:r>
      <w:r>
        <w:rPr>
          <w:rFonts w:hint="eastAsia" w:ascii="仿宋_GB2312" w:hAnsi="仿宋_GB2312" w:eastAsia="仿宋_GB2312" w:cs="仿宋_GB2312"/>
          <w:sz w:val="32"/>
          <w:szCs w:val="32"/>
        </w:rPr>
        <w:t>指在基本支出之外为完成特定行政任务和事业发展目标所发生的支出。</w:t>
      </w:r>
    </w:p>
    <w:p>
      <w:pPr>
        <w:autoSpaceDE w:val="0"/>
        <w:autoSpaceDN w:val="0"/>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十一、经营支出：</w:t>
      </w:r>
      <w:r>
        <w:rPr>
          <w:rFonts w:hint="eastAsia" w:ascii="仿宋_GB2312" w:hAnsi="仿宋_GB2312" w:eastAsia="仿宋_GB2312" w:cs="仿宋_GB2312"/>
          <w:sz w:val="32"/>
          <w:szCs w:val="32"/>
        </w:rPr>
        <w:t>指事业单位在专业业务活动及其辅助活动之外开展非独立核算经营活动发生的支出。</w:t>
      </w:r>
    </w:p>
    <w:p>
      <w:pPr>
        <w:autoSpaceDE w:val="0"/>
        <w:autoSpaceDN w:val="0"/>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十二、对附属单位补助支出：</w:t>
      </w:r>
      <w:r>
        <w:rPr>
          <w:rFonts w:hint="eastAsia" w:ascii="仿宋_GB2312" w:hAnsi="仿宋_GB2312" w:eastAsia="仿宋_GB2312" w:cs="仿宋_GB2312"/>
          <w:sz w:val="32"/>
          <w:szCs w:val="32"/>
        </w:rPr>
        <w:t>指事业单位发生的用非财政预算资金对附属单位的补助支出。</w:t>
      </w:r>
    </w:p>
    <w:p>
      <w:pPr>
        <w:autoSpaceDE w:val="0"/>
        <w:autoSpaceDN w:val="0"/>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十三、“三公”经费：</w:t>
      </w:r>
      <w:r>
        <w:rPr>
          <w:rFonts w:hint="eastAsia" w:ascii="仿宋_GB2312" w:hAnsi="仿宋_GB2312" w:eastAsia="仿宋_GB2312" w:cs="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十四、机关运行经费：</w:t>
      </w:r>
      <w:r>
        <w:rPr>
          <w:rFonts w:hint="eastAsia" w:ascii="仿宋_GB2312" w:hAnsi="仿宋_GB2312" w:eastAsia="仿宋_GB2312" w:cs="仿宋_GB2312"/>
          <w:sz w:val="32"/>
          <w:szCs w:val="32"/>
        </w:rPr>
        <w:t>行政单位和参照公务员法管理的事业单位财政拨款基本支出中的公用经费支出。</w:t>
      </w:r>
    </w:p>
    <w:p>
      <w:pPr>
        <w:spacing w:line="240" w:lineRule="auto"/>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r>
        <w:rPr>
          <w:rFonts w:hint="eastAsia" w:ascii="黑体" w:hAnsi="黑体" w:eastAsia="黑体" w:cs="黑体"/>
          <w:sz w:val="32"/>
          <w:szCs w:val="32"/>
        </w:rPr>
        <w:t>第四部分 部门决算报表（见附表）</w:t>
      </w:r>
    </w:p>
    <w:p>
      <w:pPr>
        <w:spacing w:line="240" w:lineRule="auto"/>
        <w:ind w:firstLine="640" w:firstLineChars="200"/>
        <w:outlineLvl w:val="1"/>
        <w:rPr>
          <w:rFonts w:hint="eastAsia" w:ascii="仿宋_GB2312" w:hAnsi="仿宋_GB2312" w:eastAsia="仿宋_GB2312" w:cs="仿宋_GB2312"/>
          <w:bCs/>
          <w:kern w:val="0"/>
          <w:sz w:val="32"/>
          <w:szCs w:val="32"/>
        </w:rPr>
      </w:pPr>
      <w:bookmarkStart w:id="32" w:name="_Toc2183"/>
      <w:bookmarkStart w:id="33" w:name="_Toc6062"/>
      <w:r>
        <w:rPr>
          <w:rFonts w:hint="eastAsia" w:ascii="仿宋_GB2312" w:hAnsi="仿宋_GB2312" w:eastAsia="仿宋_GB2312" w:cs="仿宋_GB2312"/>
          <w:bCs/>
          <w:kern w:val="0"/>
          <w:sz w:val="32"/>
          <w:szCs w:val="32"/>
        </w:rPr>
        <w:t>一、《收入支出决算总表》</w:t>
      </w:r>
      <w:bookmarkEnd w:id="32"/>
      <w:bookmarkEnd w:id="33"/>
    </w:p>
    <w:p>
      <w:pPr>
        <w:spacing w:line="240" w:lineRule="auto"/>
        <w:ind w:firstLine="640" w:firstLineChars="200"/>
        <w:outlineLvl w:val="1"/>
        <w:rPr>
          <w:rFonts w:hint="eastAsia" w:ascii="仿宋_GB2312" w:hAnsi="仿宋_GB2312" w:eastAsia="仿宋_GB2312" w:cs="仿宋_GB2312"/>
          <w:bCs/>
          <w:kern w:val="0"/>
          <w:sz w:val="32"/>
          <w:szCs w:val="32"/>
        </w:rPr>
      </w:pPr>
      <w:bookmarkStart w:id="34" w:name="_Toc30364"/>
      <w:bookmarkStart w:id="35" w:name="_Toc24532"/>
      <w:r>
        <w:rPr>
          <w:rFonts w:hint="eastAsia" w:ascii="仿宋_GB2312" w:hAnsi="仿宋_GB2312" w:eastAsia="仿宋_GB2312" w:cs="仿宋_GB2312"/>
          <w:bCs/>
          <w:kern w:val="0"/>
          <w:sz w:val="32"/>
          <w:szCs w:val="32"/>
        </w:rPr>
        <w:t>二、《收入决算表》</w:t>
      </w:r>
      <w:bookmarkEnd w:id="34"/>
      <w:bookmarkEnd w:id="35"/>
    </w:p>
    <w:p>
      <w:pPr>
        <w:spacing w:line="240" w:lineRule="auto"/>
        <w:ind w:firstLine="640" w:firstLineChars="200"/>
        <w:outlineLvl w:val="1"/>
        <w:rPr>
          <w:rFonts w:hint="eastAsia" w:ascii="仿宋_GB2312" w:hAnsi="仿宋_GB2312" w:eastAsia="仿宋_GB2312" w:cs="仿宋_GB2312"/>
          <w:bCs/>
          <w:kern w:val="0"/>
          <w:sz w:val="32"/>
          <w:szCs w:val="32"/>
        </w:rPr>
      </w:pPr>
      <w:bookmarkStart w:id="36" w:name="_Toc32434"/>
      <w:bookmarkStart w:id="37" w:name="_Toc21304"/>
      <w:r>
        <w:rPr>
          <w:rFonts w:hint="eastAsia" w:ascii="仿宋_GB2312" w:hAnsi="仿宋_GB2312" w:eastAsia="仿宋_GB2312" w:cs="仿宋_GB2312"/>
          <w:bCs/>
          <w:kern w:val="0"/>
          <w:sz w:val="32"/>
          <w:szCs w:val="32"/>
        </w:rPr>
        <w:t>三、《支出决算表》</w:t>
      </w:r>
      <w:bookmarkEnd w:id="36"/>
      <w:bookmarkEnd w:id="37"/>
    </w:p>
    <w:p>
      <w:pPr>
        <w:spacing w:line="240" w:lineRule="auto"/>
        <w:ind w:firstLine="640" w:firstLineChars="200"/>
        <w:outlineLvl w:val="1"/>
        <w:rPr>
          <w:rFonts w:hint="eastAsia" w:ascii="仿宋_GB2312" w:hAnsi="仿宋_GB2312" w:eastAsia="仿宋_GB2312" w:cs="仿宋_GB2312"/>
          <w:bCs/>
          <w:kern w:val="0"/>
          <w:sz w:val="32"/>
          <w:szCs w:val="32"/>
        </w:rPr>
      </w:pPr>
      <w:bookmarkStart w:id="38" w:name="_Toc14238"/>
      <w:bookmarkStart w:id="39" w:name="_Toc28786"/>
      <w:r>
        <w:rPr>
          <w:rFonts w:hint="eastAsia" w:ascii="仿宋_GB2312" w:hAnsi="仿宋_GB2312" w:eastAsia="仿宋_GB2312" w:cs="仿宋_GB2312"/>
          <w:bCs/>
          <w:kern w:val="0"/>
          <w:sz w:val="32"/>
          <w:szCs w:val="32"/>
        </w:rPr>
        <w:t>四、《财政拨款收入支出决算总表》</w:t>
      </w:r>
      <w:bookmarkEnd w:id="38"/>
      <w:bookmarkEnd w:id="39"/>
    </w:p>
    <w:p>
      <w:pPr>
        <w:spacing w:line="240" w:lineRule="auto"/>
        <w:ind w:firstLine="640" w:firstLineChars="200"/>
        <w:outlineLvl w:val="1"/>
        <w:rPr>
          <w:rFonts w:hint="eastAsia" w:ascii="仿宋_GB2312" w:hAnsi="仿宋_GB2312" w:eastAsia="仿宋_GB2312" w:cs="仿宋_GB2312"/>
          <w:bCs/>
          <w:kern w:val="0"/>
          <w:sz w:val="32"/>
          <w:szCs w:val="32"/>
        </w:rPr>
      </w:pPr>
      <w:bookmarkStart w:id="40" w:name="_Toc10347"/>
      <w:bookmarkStart w:id="41" w:name="_Toc14869"/>
      <w:r>
        <w:rPr>
          <w:rFonts w:hint="eastAsia" w:ascii="仿宋_GB2312" w:hAnsi="仿宋_GB2312" w:eastAsia="仿宋_GB2312" w:cs="仿宋_GB2312"/>
          <w:bCs/>
          <w:kern w:val="0"/>
          <w:sz w:val="32"/>
          <w:szCs w:val="32"/>
        </w:rPr>
        <w:t>五、《一般公共预算财政拨款支出决算表》</w:t>
      </w:r>
      <w:bookmarkEnd w:id="40"/>
      <w:bookmarkEnd w:id="41"/>
    </w:p>
    <w:p>
      <w:pPr>
        <w:spacing w:line="240" w:lineRule="auto"/>
        <w:ind w:firstLine="640" w:firstLineChars="200"/>
        <w:outlineLvl w:val="1"/>
        <w:rPr>
          <w:rFonts w:hint="eastAsia" w:ascii="仿宋_GB2312" w:hAnsi="仿宋_GB2312" w:eastAsia="仿宋_GB2312" w:cs="仿宋_GB2312"/>
          <w:bCs/>
          <w:kern w:val="0"/>
          <w:sz w:val="32"/>
          <w:szCs w:val="32"/>
        </w:rPr>
      </w:pPr>
      <w:bookmarkStart w:id="42" w:name="_Toc5626"/>
      <w:bookmarkStart w:id="43" w:name="_Toc8884"/>
      <w:r>
        <w:rPr>
          <w:rFonts w:hint="eastAsia" w:ascii="仿宋_GB2312" w:hAnsi="仿宋_GB2312" w:eastAsia="仿宋_GB2312" w:cs="仿宋_GB2312"/>
          <w:bCs/>
          <w:kern w:val="0"/>
          <w:sz w:val="32"/>
          <w:szCs w:val="32"/>
        </w:rPr>
        <w:t>六、《一般公共预算财政拨款基本支出决算表》</w:t>
      </w:r>
      <w:bookmarkEnd w:id="42"/>
      <w:bookmarkEnd w:id="43"/>
    </w:p>
    <w:p>
      <w:pPr>
        <w:spacing w:line="240" w:lineRule="auto"/>
        <w:ind w:firstLine="640" w:firstLineChars="200"/>
        <w:outlineLvl w:val="1"/>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七、</w:t>
      </w:r>
      <w:bookmarkStart w:id="44" w:name="_Toc32663"/>
      <w:bookmarkStart w:id="45" w:name="_Toc29106"/>
      <w:r>
        <w:rPr>
          <w:rFonts w:hint="eastAsia" w:ascii="仿宋_GB2312" w:hAnsi="仿宋_GB2312" w:eastAsia="仿宋_GB2312" w:cs="仿宋_GB2312"/>
          <w:bCs/>
          <w:kern w:val="0"/>
          <w:sz w:val="32"/>
          <w:szCs w:val="32"/>
        </w:rPr>
        <w:t>《财政拨款“三公”经费支出决算表》</w:t>
      </w:r>
      <w:bookmarkEnd w:id="44"/>
      <w:bookmarkEnd w:id="45"/>
    </w:p>
    <w:p>
      <w:pPr>
        <w:spacing w:line="240" w:lineRule="auto"/>
        <w:ind w:firstLine="640" w:firstLineChars="200"/>
        <w:outlineLvl w:val="1"/>
        <w:rPr>
          <w:rFonts w:hint="eastAsia" w:ascii="仿宋_GB2312" w:hAnsi="仿宋_GB2312" w:eastAsia="仿宋_GB2312" w:cs="仿宋_GB2312"/>
          <w:bCs/>
          <w:kern w:val="0"/>
          <w:sz w:val="32"/>
          <w:szCs w:val="32"/>
        </w:rPr>
      </w:pPr>
      <w:bookmarkStart w:id="46" w:name="_Toc5453"/>
      <w:bookmarkStart w:id="47" w:name="_Toc7643"/>
      <w:r>
        <w:rPr>
          <w:rFonts w:hint="eastAsia" w:ascii="仿宋_GB2312" w:hAnsi="仿宋_GB2312" w:eastAsia="仿宋_GB2312" w:cs="仿宋_GB2312"/>
          <w:bCs/>
          <w:kern w:val="0"/>
          <w:sz w:val="32"/>
          <w:szCs w:val="32"/>
        </w:rPr>
        <w:t>八、《政府性基金预算财政拨款收入支出决算表》</w:t>
      </w:r>
      <w:bookmarkEnd w:id="46"/>
      <w:bookmarkEnd w:id="47"/>
    </w:p>
    <w:p>
      <w:pPr>
        <w:spacing w:line="240" w:lineRule="auto"/>
        <w:ind w:firstLine="640" w:firstLineChars="200"/>
        <w:outlineLvl w:val="1"/>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pPr>
        <w:spacing w:line="240" w:lineRule="auto"/>
        <w:ind w:firstLine="640" w:firstLineChars="200"/>
        <w:rPr>
          <w:rFonts w:ascii="仿宋_GB2312" w:eastAsia="仿宋_GB2312"/>
          <w:sz w:val="32"/>
          <w:szCs w:val="32"/>
        </w:rPr>
      </w:pPr>
    </w:p>
    <w:p>
      <w:pPr>
        <w:spacing w:line="240" w:lineRule="auto"/>
        <w:ind w:firstLine="640" w:firstLineChars="200"/>
        <w:outlineLvl w:val="1"/>
        <w:rPr>
          <w:rFonts w:hint="eastAsia"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AF1258"/>
    <w:rsid w:val="00213C59"/>
    <w:rsid w:val="00296D38"/>
    <w:rsid w:val="003210CE"/>
    <w:rsid w:val="00773D84"/>
    <w:rsid w:val="00AF1258"/>
    <w:rsid w:val="00B70D59"/>
    <w:rsid w:val="00BA7DA9"/>
    <w:rsid w:val="00C73C5A"/>
    <w:rsid w:val="00D61EFA"/>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504EB"/>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22DAC"/>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0C3579"/>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57046B"/>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9A97348"/>
    <w:rsid w:val="5A60780B"/>
    <w:rsid w:val="5AB34579"/>
    <w:rsid w:val="5AF95AC0"/>
    <w:rsid w:val="5AFC6609"/>
    <w:rsid w:val="5B113480"/>
    <w:rsid w:val="5BD456CE"/>
    <w:rsid w:val="5C0D1F49"/>
    <w:rsid w:val="5C1B3841"/>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2D23F9"/>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2D2800"/>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F116EB"/>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9B4F8D"/>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12">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7">
    <w:name w:val="toc 1"/>
    <w:basedOn w:val="1"/>
    <w:next w:val="1"/>
    <w:qFormat/>
    <w:uiPriority w:val="0"/>
  </w:style>
  <w:style w:type="paragraph" w:styleId="8">
    <w:name w:val="footnote text"/>
    <w:basedOn w:val="1"/>
    <w:qFormat/>
    <w:uiPriority w:val="0"/>
    <w:pPr>
      <w:snapToGrid w:val="0"/>
      <w:jc w:val="left"/>
    </w:pPr>
    <w:rPr>
      <w:sz w:val="18"/>
    </w:rPr>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jc w:val="left"/>
    </w:pPr>
    <w:rPr>
      <w:kern w:val="0"/>
      <w:sz w:val="24"/>
    </w:rPr>
  </w:style>
  <w:style w:type="character" w:styleId="13">
    <w:name w:val="Strong"/>
    <w:basedOn w:val="12"/>
    <w:qFormat/>
    <w:uiPriority w:val="0"/>
    <w:rPr>
      <w:b/>
    </w:rPr>
  </w:style>
  <w:style w:type="paragraph" w:customStyle="1" w:styleId="14">
    <w:name w:val="WPSOffice手动目录 3"/>
    <w:qFormat/>
    <w:uiPriority w:val="0"/>
    <w:pPr>
      <w:spacing w:after="160" w:line="278" w:lineRule="auto"/>
      <w:ind w:left="400" w:leftChars="400"/>
    </w:pPr>
    <w:rPr>
      <w:rFonts w:ascii="Times New Roman" w:hAnsi="Times New Roman" w:eastAsia="宋体" w:cs="Times New Roman"/>
      <w:lang w:val="en-US" w:eastAsia="zh-CN" w:bidi="ar-SA"/>
    </w:rPr>
  </w:style>
  <w:style w:type="paragraph" w:customStyle="1" w:styleId="15">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6">
    <w:name w:val="WPSOffice手动目录 1"/>
    <w:qFormat/>
    <w:uiPriority w:val="0"/>
    <w:pPr>
      <w:spacing w:after="160" w:line="278" w:lineRule="auto"/>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927</Words>
  <Characters>5284</Characters>
  <Lines>44</Lines>
  <Paragraphs>12</Paragraphs>
  <TotalTime>1</TotalTime>
  <ScaleCrop>false</ScaleCrop>
  <LinksUpToDate>false</LinksUpToDate>
  <CharactersWithSpaces>6199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2025-04-07T08:56:08Z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4F066369F962403F9420E0F50409EB3D_13</vt:lpwstr>
  </property>
</Properties>
</file>