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hint="eastAsia" w:ascii="黑体" w:hAnsi="黑体" w:eastAsia="黑体"/>
          <w:color w:val="auto"/>
          <w:sz w:val="32"/>
          <w:szCs w:val="32"/>
          <w:highlight w:val="none"/>
          <w:lang w:val="en-US" w:eastAsia="zh-CN"/>
        </w:rPr>
      </w:pPr>
      <w:r>
        <w:rPr>
          <w:rFonts w:hint="eastAsia" w:ascii="黑体" w:hAnsi="黑体" w:eastAsia="黑体"/>
          <w:color w:val="auto"/>
          <w:sz w:val="32"/>
          <w:szCs w:val="32"/>
          <w:highlight w:val="none"/>
          <w:lang w:val="en-US" w:eastAsia="zh-CN"/>
        </w:rPr>
        <w:t xml:space="preserve"> </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裕民县卫生健康委员会</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eastAsia="zh-CN"/>
        </w:rPr>
        <w:t xml:space="preserve"> 2023年度单位</w:t>
      </w:r>
      <w:r>
        <w:rPr>
          <w:rFonts w:hint="eastAsia" w:ascii="方正小标宋_GBK" w:hAnsi="宋体" w:eastAsia="方正小标宋_GBK"/>
          <w:color w:val="auto"/>
          <w:sz w:val="44"/>
          <w:szCs w:val="44"/>
          <w:highlight w:val="none"/>
        </w:rPr>
        <w:t>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第二部分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决算情况说明</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第四部分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决算报表（见附表）</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32314"/>
      <w:bookmarkStart w:id="1" w:name="_Toc24028"/>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sz w:val="32"/>
          <w:szCs w:val="32"/>
          <w:highlight w:val="none"/>
        </w:rPr>
      </w:pPr>
      <w:bookmarkStart w:id="4" w:name="_Toc31238"/>
      <w:bookmarkStart w:id="5" w:name="_Toc2151"/>
      <w:r>
        <w:rPr>
          <w:rFonts w:hint="eastAsia" w:ascii="仿宋_GB2312" w:eastAsia="仿宋_GB2312"/>
          <w:sz w:val="32"/>
          <w:szCs w:val="32"/>
          <w:highlight w:val="none"/>
        </w:rPr>
        <w:t>贯彻执行国家和自治区、地区有关卫生健康、中医药事业发展的法律、法规、规章、技术规范、标准；拟订卫生健康事业、中医药事业发展的相关规划、政策措施并组织实施；协调推进卫生健康资源配置，拟订县域卫生健康规划并组织实施。组织实施推进卫生健康基本公共服务均等化、普惠化、便捷化和公共资源向基层延伸等政策措施。</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b/>
          <w:color w:val="auto"/>
          <w:sz w:val="32"/>
          <w:szCs w:val="32"/>
          <w:highlight w:val="none"/>
        </w:rPr>
      </w:pPr>
      <w:r>
        <w:rPr>
          <w:rFonts w:hint="eastAsia" w:ascii="仿宋_GB2312" w:eastAsia="仿宋_GB2312"/>
          <w:color w:val="auto"/>
          <w:sz w:val="32"/>
          <w:szCs w:val="32"/>
          <w:highlight w:val="none"/>
          <w:lang w:val="en-US" w:eastAsia="zh-CN"/>
        </w:rPr>
        <w:t>裕民县卫生健康委员会</w:t>
      </w:r>
      <w:r>
        <w:rPr>
          <w:rFonts w:hint="eastAsia" w:ascii="仿宋_GB2312" w:eastAsia="仿宋_GB2312"/>
          <w:color w:val="auto"/>
          <w:sz w:val="32"/>
          <w:szCs w:val="32"/>
          <w:highlight w:val="none"/>
          <w:lang w:eastAsia="zh-CN"/>
        </w:rPr>
        <w:t>2023年度，</w:t>
      </w:r>
      <w:r>
        <w:rPr>
          <w:rFonts w:hint="eastAsia" w:ascii="仿宋_GB2312" w:eastAsia="仿宋_GB2312"/>
          <w:color w:val="auto"/>
          <w:sz w:val="32"/>
          <w:szCs w:val="32"/>
          <w:highlight w:val="none"/>
        </w:rPr>
        <w:t>实有人数</w:t>
      </w:r>
      <w:r>
        <w:rPr>
          <w:rFonts w:hint="eastAsia" w:ascii="仿宋_GB2312" w:eastAsia="仿宋_GB2312"/>
          <w:color w:val="auto"/>
          <w:sz w:val="32"/>
          <w:szCs w:val="32"/>
          <w:highlight w:val="none"/>
          <w:lang w:val="zh-CN" w:eastAsia="zh-CN"/>
        </w:rPr>
        <w:t>46</w:t>
      </w:r>
      <w:r>
        <w:rPr>
          <w:rFonts w:hint="eastAsia" w:ascii="仿宋_GB2312" w:eastAsia="仿宋_GB2312"/>
          <w:color w:val="auto"/>
          <w:sz w:val="32"/>
          <w:szCs w:val="32"/>
          <w:highlight w:val="none"/>
        </w:rPr>
        <w:t>人，其中：在职人员</w:t>
      </w:r>
      <w:r>
        <w:rPr>
          <w:rFonts w:hint="eastAsia" w:ascii="仿宋_GB2312" w:eastAsia="仿宋_GB2312"/>
          <w:color w:val="auto"/>
          <w:sz w:val="32"/>
          <w:szCs w:val="32"/>
          <w:highlight w:val="none"/>
          <w:lang w:val="zh-CN" w:eastAsia="zh-CN"/>
        </w:rPr>
        <w:t>20</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eastAsia" w:ascii="仿宋_GB2312" w:eastAsia="仿宋_GB2312"/>
          <w:color w:val="auto"/>
          <w:sz w:val="32"/>
          <w:szCs w:val="32"/>
          <w:highlight w:val="none"/>
          <w:lang w:val="zh-CN" w:eastAsia="zh-CN"/>
        </w:rPr>
        <w:t>0</w:t>
      </w:r>
      <w:r>
        <w:rPr>
          <w:rFonts w:hint="eastAsia" w:ascii="仿宋_GB2312" w:eastAsia="仿宋_GB2312"/>
          <w:color w:val="auto"/>
          <w:sz w:val="32"/>
          <w:szCs w:val="32"/>
          <w:highlight w:val="none"/>
        </w:rPr>
        <w:t>人，退休人员</w:t>
      </w:r>
      <w:r>
        <w:rPr>
          <w:rFonts w:hint="eastAsia" w:ascii="仿宋_GB2312" w:eastAsia="仿宋_GB2312"/>
          <w:color w:val="auto"/>
          <w:sz w:val="32"/>
          <w:szCs w:val="32"/>
          <w:highlight w:val="none"/>
          <w:lang w:val="zh-CN" w:eastAsia="zh-CN"/>
        </w:rPr>
        <w:t>26</w:t>
      </w:r>
      <w:r>
        <w:rPr>
          <w:rFonts w:hint="eastAsia" w:ascii="仿宋_GB2312" w:eastAsia="仿宋_GB2312"/>
          <w:color w:val="auto"/>
          <w:sz w:val="32"/>
          <w:szCs w:val="32"/>
          <w:highlight w:val="none"/>
        </w:rPr>
        <w:t>人。</w:t>
      </w:r>
    </w:p>
    <w:p>
      <w:pPr>
        <w:keepNext w:val="0"/>
        <w:keepLines w:val="0"/>
        <w:pageBreakBefore w:val="0"/>
        <w:widowControl w:val="0"/>
        <w:kinsoku/>
        <w:wordWrap/>
        <w:overflowPunct/>
        <w:topLinePunct w:val="0"/>
        <w:adjustRightInd/>
        <w:snapToGrid/>
        <w:spacing w:line="240" w:lineRule="auto"/>
        <w:ind w:firstLine="640" w:firstLineChars="200"/>
        <w:jc w:val="both"/>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单位无下属预算单位，下设4个处室，分别是：医政科、计生科、财务科、办公室。</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6" w:name="_Toc29374"/>
      <w:bookmarkStart w:id="7" w:name="_Toc3092"/>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 xml:space="preserve">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决算情况说明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566"/>
      <w:bookmarkStart w:id="9" w:name="_Toc25314"/>
      <w:r>
        <w:rPr>
          <w:rFonts w:hint="eastAsia" w:ascii="黑体" w:hAnsi="黑体" w:eastAsia="黑体" w:cs="宋体"/>
          <w:bCs/>
          <w:color w:val="auto"/>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hAnsi="Times New Roman" w:eastAsia="仿宋_GB2312" w:cs="Times New Roman"/>
          <w:b/>
          <w:bCs/>
          <w:spacing w:val="0"/>
          <w:sz w:val="32"/>
          <w:szCs w:val="32"/>
          <w:highlight w:val="none"/>
          <w:lang w:eastAsia="zh-CN"/>
        </w:rPr>
        <w:t>2023年度</w:t>
      </w:r>
      <w:r>
        <w:rPr>
          <w:rFonts w:hint="eastAsia" w:ascii="仿宋_GB2312" w:hAnsi="Times New Roman" w:eastAsia="仿宋_GB2312" w:cs="Times New Roman"/>
          <w:b/>
          <w:bCs/>
          <w:spacing w:val="0"/>
          <w:sz w:val="32"/>
          <w:szCs w:val="32"/>
          <w:highlight w:val="none"/>
          <w:lang w:val="en-US" w:eastAsia="zh-CN"/>
        </w:rPr>
        <w:t>收入总计</w:t>
      </w:r>
      <w:r>
        <w:rPr>
          <w:rFonts w:hint="eastAsia" w:ascii="仿宋_GB2312" w:hAnsi="Times New Roman" w:eastAsia="仿宋_GB2312" w:cs="Times New Roman"/>
          <w:b/>
          <w:bCs/>
          <w:spacing w:val="0"/>
          <w:sz w:val="32"/>
          <w:szCs w:val="32"/>
          <w:highlight w:val="none"/>
          <w:lang w:eastAsia="zh-CN"/>
        </w:rPr>
        <w:t>3,768.41万元，</w:t>
      </w:r>
      <w:r>
        <w:rPr>
          <w:rFonts w:hint="eastAsia" w:ascii="仿宋_GB2312" w:eastAsia="仿宋_GB2312"/>
          <w:color w:val="auto"/>
          <w:spacing w:val="0"/>
          <w:sz w:val="32"/>
          <w:szCs w:val="32"/>
          <w:highlight w:val="none"/>
          <w:lang w:val="en-US" w:eastAsia="zh-CN"/>
        </w:rPr>
        <w:t>其中：本年收入合计</w:t>
      </w:r>
      <w:r>
        <w:rPr>
          <w:rFonts w:hint="eastAsia" w:ascii="仿宋_GB2312" w:eastAsia="仿宋_GB2312"/>
          <w:color w:val="auto"/>
          <w:spacing w:val="0"/>
          <w:sz w:val="32"/>
          <w:szCs w:val="32"/>
          <w:highlight w:val="none"/>
          <w:lang w:eastAsia="zh-CN"/>
        </w:rPr>
        <w:t>3,673.71万元，使用非财政拨款结余0.00万元，年初结转和结余94.69万元。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hAnsi="Times New Roman" w:eastAsia="仿宋_GB2312" w:cs="Times New Roman"/>
          <w:b/>
          <w:bCs/>
          <w:spacing w:val="0"/>
          <w:sz w:val="32"/>
          <w:szCs w:val="32"/>
          <w:highlight w:val="none"/>
          <w:lang w:val="en-US" w:eastAsia="zh-CN"/>
        </w:rPr>
        <w:t>2023</w:t>
      </w:r>
      <w:r>
        <w:rPr>
          <w:rFonts w:hint="eastAsia" w:ascii="仿宋_GB2312" w:hAnsi="Times New Roman" w:eastAsia="仿宋_GB2312" w:cs="Times New Roman"/>
          <w:b/>
          <w:bCs/>
          <w:spacing w:val="0"/>
          <w:sz w:val="32"/>
          <w:szCs w:val="32"/>
          <w:highlight w:val="none"/>
          <w:lang w:eastAsia="zh-CN"/>
        </w:rPr>
        <w:t>年</w:t>
      </w:r>
      <w:r>
        <w:rPr>
          <w:rFonts w:hint="eastAsia" w:ascii="仿宋_GB2312" w:hAnsi="Times New Roman" w:eastAsia="仿宋_GB2312" w:cs="Times New Roman"/>
          <w:b/>
          <w:bCs/>
          <w:spacing w:val="0"/>
          <w:sz w:val="32"/>
          <w:szCs w:val="32"/>
          <w:highlight w:val="none"/>
          <w:lang w:val="en-US" w:eastAsia="zh-CN"/>
        </w:rPr>
        <w:t>度</w:t>
      </w:r>
      <w:r>
        <w:rPr>
          <w:rFonts w:hint="eastAsia" w:ascii="仿宋_GB2312" w:hAnsi="Times New Roman" w:eastAsia="仿宋_GB2312" w:cs="Times New Roman"/>
          <w:b/>
          <w:bCs/>
          <w:spacing w:val="0"/>
          <w:sz w:val="32"/>
          <w:szCs w:val="32"/>
          <w:highlight w:val="none"/>
          <w:lang w:eastAsia="zh-CN"/>
        </w:rPr>
        <w:t>支出</w:t>
      </w:r>
      <w:r>
        <w:rPr>
          <w:rFonts w:hint="eastAsia" w:ascii="仿宋_GB2312" w:hAnsi="Times New Roman" w:eastAsia="仿宋_GB2312" w:cs="Times New Roman"/>
          <w:b/>
          <w:bCs/>
          <w:spacing w:val="0"/>
          <w:sz w:val="32"/>
          <w:szCs w:val="32"/>
          <w:highlight w:val="none"/>
          <w:lang w:val="en-US" w:eastAsia="zh-CN"/>
        </w:rPr>
        <w:t>总计</w:t>
      </w:r>
      <w:r>
        <w:rPr>
          <w:rFonts w:hint="eastAsia" w:ascii="仿宋_GB2312" w:hAnsi="Times New Roman" w:eastAsia="仿宋_GB2312" w:cs="Times New Roman"/>
          <w:b/>
          <w:bCs/>
          <w:spacing w:val="0"/>
          <w:sz w:val="32"/>
          <w:szCs w:val="32"/>
          <w:highlight w:val="none"/>
          <w:lang w:eastAsia="zh-CN"/>
        </w:rPr>
        <w:t>3,768.41万元，</w:t>
      </w:r>
      <w:r>
        <w:rPr>
          <w:rFonts w:hint="eastAsia" w:ascii="仿宋_GB2312" w:eastAsia="仿宋_GB2312"/>
          <w:color w:val="auto"/>
          <w:spacing w:val="0"/>
          <w:sz w:val="32"/>
          <w:szCs w:val="32"/>
          <w:highlight w:val="none"/>
          <w:lang w:val="en-US" w:eastAsia="zh-CN"/>
        </w:rPr>
        <w:t>其中：本年支出合计</w:t>
      </w:r>
      <w:r>
        <w:rPr>
          <w:rFonts w:hint="eastAsia" w:ascii="仿宋_GB2312" w:eastAsia="仿宋_GB2312"/>
          <w:color w:val="auto"/>
          <w:spacing w:val="0"/>
          <w:sz w:val="32"/>
          <w:szCs w:val="32"/>
          <w:highlight w:val="none"/>
          <w:lang w:eastAsia="zh-CN"/>
        </w:rPr>
        <w:t>3,677.52万元，</w:t>
      </w:r>
      <w:r>
        <w:rPr>
          <w:rFonts w:hint="eastAsia" w:ascii="仿宋_GB2312" w:eastAsia="仿宋_GB2312"/>
          <w:color w:val="auto"/>
          <w:spacing w:val="0"/>
          <w:sz w:val="32"/>
          <w:szCs w:val="32"/>
          <w:highlight w:val="none"/>
          <w:lang w:val="en-US" w:eastAsia="zh-CN"/>
        </w:rPr>
        <w:t>结余分配</w:t>
      </w:r>
      <w:r>
        <w:rPr>
          <w:rFonts w:hint="eastAsia" w:ascii="仿宋_GB2312" w:eastAsia="仿宋_GB2312"/>
          <w:color w:val="auto"/>
          <w:spacing w:val="0"/>
          <w:sz w:val="32"/>
          <w:szCs w:val="32"/>
          <w:highlight w:val="none"/>
          <w:lang w:eastAsia="zh-CN"/>
        </w:rPr>
        <w:t>0.00万元，年末结转和结余90.89万元。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hAnsi="仿宋_GB2312" w:eastAsia="仿宋_GB2312" w:cs="仿宋_GB2312"/>
          <w:b/>
          <w:bCs w:val="0"/>
          <w:kern w:val="0"/>
          <w:sz w:val="32"/>
          <w:szCs w:val="32"/>
          <w:highlight w:val="none"/>
          <w:lang w:val="en-US" w:eastAsia="zh-CN"/>
        </w:rPr>
        <w:t>收入支出总体与上年相比</w:t>
      </w:r>
      <w:r>
        <w:rPr>
          <w:rFonts w:hint="eastAsia" w:ascii="仿宋_GB2312" w:hAnsi="仿宋_GB2312" w:eastAsia="仿宋_GB2312" w:cs="仿宋_GB2312"/>
          <w:b/>
          <w:bCs w:val="0"/>
          <w:kern w:val="0"/>
          <w:sz w:val="32"/>
          <w:szCs w:val="32"/>
          <w:highlight w:val="none"/>
          <w:lang w:eastAsia="zh-CN"/>
        </w:rPr>
        <w:t>，</w:t>
      </w:r>
      <w:r>
        <w:rPr>
          <w:rFonts w:hint="eastAsia" w:ascii="仿宋_GB2312" w:eastAsia="仿宋_GB2312"/>
          <w:color w:val="auto"/>
          <w:spacing w:val="0"/>
          <w:sz w:val="32"/>
          <w:szCs w:val="32"/>
          <w:highlight w:val="none"/>
          <w:lang w:val="zh-CN" w:eastAsia="zh-CN"/>
        </w:rPr>
        <w:t>增加</w:t>
      </w:r>
      <w:r>
        <w:rPr>
          <w:rFonts w:hint="eastAsia" w:ascii="仿宋_GB2312" w:eastAsia="仿宋_GB2312"/>
          <w:color w:val="auto"/>
          <w:spacing w:val="0"/>
          <w:sz w:val="32"/>
          <w:szCs w:val="32"/>
          <w:highlight w:val="none"/>
          <w:lang w:val="en-US" w:eastAsia="zh-CN"/>
        </w:rPr>
        <w:t>1477.53</w:t>
      </w:r>
      <w:r>
        <w:rPr>
          <w:rFonts w:hint="eastAsia" w:ascii="仿宋_GB2312" w:eastAsia="仿宋_GB2312"/>
          <w:color w:val="auto"/>
          <w:spacing w:val="0"/>
          <w:sz w:val="32"/>
          <w:szCs w:val="32"/>
          <w:highlight w:val="none"/>
          <w:lang w:val="zh-CN" w:eastAsia="zh-CN"/>
        </w:rPr>
        <w:t>万元</w:t>
      </w:r>
      <w:r>
        <w:rPr>
          <w:rFonts w:hint="eastAsia" w:ascii="仿宋_GB2312" w:eastAsia="仿宋_GB2312"/>
          <w:color w:val="auto"/>
          <w:spacing w:val="0"/>
          <w:sz w:val="32"/>
          <w:szCs w:val="32"/>
          <w:highlight w:val="none"/>
          <w:lang w:eastAsia="zh-CN"/>
        </w:rPr>
        <w:t>，增长</w:t>
      </w:r>
      <w:r>
        <w:rPr>
          <w:rFonts w:hint="eastAsia" w:ascii="仿宋_GB2312" w:eastAsia="仿宋_GB2312"/>
          <w:color w:val="auto"/>
          <w:spacing w:val="0"/>
          <w:sz w:val="32"/>
          <w:szCs w:val="32"/>
          <w:highlight w:val="none"/>
          <w:lang w:val="en-US" w:eastAsia="zh-CN"/>
        </w:rPr>
        <w:t>64.5</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pacing w:val="0"/>
          <w:sz w:val="32"/>
          <w:szCs w:val="32"/>
          <w:highlight w:val="none"/>
          <w:lang w:val="en-US" w:eastAsia="zh-CN"/>
        </w:rPr>
        <w:t>2023疫情项目资金增加，工资基数普调调增</w:t>
      </w:r>
      <w:r>
        <w:rPr>
          <w:rFonts w:hint="eastAsia" w:ascii="仿宋_GB2312" w:eastAsia="仿宋_GB2312"/>
          <w:color w:val="auto"/>
          <w:spacing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rPr>
      </w:pPr>
      <w:bookmarkStart w:id="10" w:name="_Toc12142"/>
      <w:bookmarkStart w:id="11"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hAnsi="Times New Roman" w:eastAsia="仿宋_GB2312" w:cs="Times New Roman"/>
          <w:b/>
          <w:bCs/>
          <w:sz w:val="32"/>
          <w:szCs w:val="32"/>
          <w:highlight w:val="none"/>
        </w:rPr>
        <w:t>本年收入</w:t>
      </w:r>
      <w:r>
        <w:rPr>
          <w:rFonts w:hint="eastAsia" w:ascii="仿宋_GB2312" w:hAnsi="Times New Roman" w:eastAsia="仿宋_GB2312" w:cs="Times New Roman"/>
          <w:b/>
          <w:bCs/>
          <w:sz w:val="32"/>
          <w:szCs w:val="32"/>
          <w:highlight w:val="none"/>
          <w:lang w:eastAsia="zh-CN"/>
        </w:rPr>
        <w:t>3,673.71</w:t>
      </w:r>
      <w:r>
        <w:rPr>
          <w:rFonts w:hint="eastAsia" w:ascii="仿宋_GB2312" w:hAnsi="Times New Roman" w:eastAsia="仿宋_GB2312" w:cs="Times New Roman"/>
          <w:b/>
          <w:bCs/>
          <w:sz w:val="32"/>
          <w:szCs w:val="32"/>
          <w:highlight w:val="none"/>
        </w:rPr>
        <w:t>万元，</w:t>
      </w:r>
      <w:r>
        <w:rPr>
          <w:rFonts w:hint="eastAsia" w:ascii="仿宋_GB2312" w:eastAsia="仿宋_GB2312"/>
          <w:color w:val="auto"/>
          <w:sz w:val="32"/>
          <w:szCs w:val="32"/>
          <w:highlight w:val="none"/>
        </w:rPr>
        <w:t>其中：财政拨款收入</w:t>
      </w:r>
      <w:r>
        <w:rPr>
          <w:rFonts w:hint="eastAsia" w:ascii="仿宋_GB2312" w:eastAsia="仿宋_GB2312"/>
          <w:color w:val="auto"/>
          <w:sz w:val="32"/>
          <w:szCs w:val="32"/>
          <w:highlight w:val="none"/>
          <w:lang w:val="zh-CN"/>
        </w:rPr>
        <w:t>3,576.64</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97.36</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；上级补助收入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；事业收入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；经营收入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；其他收入</w:t>
      </w:r>
      <w:r>
        <w:rPr>
          <w:rFonts w:hint="eastAsia" w:ascii="仿宋_GB2312" w:eastAsia="仿宋_GB2312"/>
          <w:color w:val="auto"/>
          <w:sz w:val="32"/>
          <w:szCs w:val="32"/>
          <w:highlight w:val="none"/>
          <w:lang w:val="zh-CN"/>
        </w:rPr>
        <w:t>97.07</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2.64</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2" w:name="_Toc27961"/>
      <w:bookmarkStart w:id="13" w:name="_Toc13201"/>
      <w:r>
        <w:rPr>
          <w:rFonts w:hint="eastAsia" w:ascii="黑体" w:hAnsi="黑体" w:eastAsia="黑体" w:cs="宋体"/>
          <w:bCs/>
          <w:color w:val="auto"/>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left"/>
        <w:textAlignment w:val="auto"/>
        <w:rPr>
          <w:rFonts w:hint="eastAsia" w:ascii="仿宋_GB2312" w:hAnsi="仿宋_GB2312" w:eastAsia="仿宋_GB2312" w:cs="仿宋_GB2312"/>
          <w:color w:val="auto"/>
          <w:sz w:val="32"/>
          <w:szCs w:val="32"/>
          <w:highlight w:val="none"/>
          <w:lang w:val="zh-CN" w:eastAsia="zh-CN"/>
        </w:rPr>
      </w:pPr>
      <w:r>
        <w:rPr>
          <w:rFonts w:hint="eastAsia" w:ascii="仿宋_GB2312" w:hAnsi="Times New Roman" w:eastAsia="仿宋_GB2312" w:cs="Times New Roman"/>
          <w:b/>
          <w:bCs/>
          <w:sz w:val="32"/>
          <w:szCs w:val="32"/>
          <w:highlight w:val="none"/>
          <w:lang w:val="zh-CN" w:eastAsia="zh-CN"/>
        </w:rPr>
        <w:t>本年支出3,677.52万元，</w:t>
      </w:r>
      <w:r>
        <w:rPr>
          <w:rFonts w:hint="eastAsia" w:ascii="仿宋_GB2312" w:hAnsi="仿宋_GB2312" w:eastAsia="仿宋_GB2312" w:cs="仿宋_GB2312"/>
          <w:color w:val="auto"/>
          <w:sz w:val="32"/>
          <w:szCs w:val="32"/>
          <w:highlight w:val="none"/>
          <w:lang w:val="zh-CN" w:eastAsia="zh-CN"/>
        </w:rPr>
        <w:t>其中：基本支出515.26万元，占14.01%；项目支出3,162.25万元，占85.99%；上缴上级支出0.00万元，占0.00%；经营支出0.00万元，占0.00%；对附属单位补助支出0.00万元，占0.00%。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4" w:name="_Toc26564"/>
      <w:bookmarkStart w:id="15" w:name="_Toc4393"/>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hAnsi="Times New Roman" w:eastAsia="仿宋_GB2312" w:cs="Times New Roman"/>
          <w:b/>
          <w:bCs/>
          <w:spacing w:val="0"/>
          <w:sz w:val="32"/>
          <w:szCs w:val="32"/>
          <w:highlight w:val="none"/>
          <w:lang w:eastAsia="zh-CN"/>
        </w:rPr>
        <w:t>2023年度财政拨款收入</w:t>
      </w:r>
      <w:r>
        <w:rPr>
          <w:rFonts w:hint="eastAsia" w:ascii="仿宋_GB2312" w:hAnsi="Times New Roman" w:eastAsia="仿宋_GB2312" w:cs="Times New Roman"/>
          <w:b/>
          <w:bCs/>
          <w:spacing w:val="0"/>
          <w:sz w:val="32"/>
          <w:szCs w:val="32"/>
          <w:highlight w:val="none"/>
          <w:lang w:val="en-US" w:eastAsia="zh-CN"/>
        </w:rPr>
        <w:t>总计</w:t>
      </w:r>
      <w:r>
        <w:rPr>
          <w:rFonts w:hint="eastAsia" w:ascii="仿宋_GB2312" w:hAnsi="Times New Roman" w:eastAsia="仿宋_GB2312" w:cs="Times New Roman"/>
          <w:b/>
          <w:bCs/>
          <w:spacing w:val="0"/>
          <w:sz w:val="32"/>
          <w:szCs w:val="32"/>
          <w:highlight w:val="none"/>
          <w:lang w:val="zh-CN" w:eastAsia="zh-CN"/>
        </w:rPr>
        <w:t>3,577.28</w:t>
      </w:r>
      <w:r>
        <w:rPr>
          <w:rFonts w:hint="eastAsia" w:ascii="仿宋_GB2312" w:hAnsi="Times New Roman" w:eastAsia="仿宋_GB2312" w:cs="Times New Roman"/>
          <w:b/>
          <w:bCs/>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eastAsia" w:ascii="仿宋_GB2312" w:eastAsia="仿宋_GB2312"/>
          <w:color w:val="auto"/>
          <w:spacing w:val="0"/>
          <w:sz w:val="32"/>
          <w:szCs w:val="32"/>
          <w:highlight w:val="none"/>
          <w:lang w:val="zh-CN" w:eastAsia="zh-CN"/>
        </w:rPr>
        <w:t>0.64</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eastAsia" w:ascii="仿宋_GB2312" w:eastAsia="仿宋_GB2312"/>
          <w:color w:val="auto"/>
          <w:spacing w:val="0"/>
          <w:sz w:val="32"/>
          <w:szCs w:val="32"/>
          <w:highlight w:val="none"/>
          <w:lang w:val="zh-CN" w:eastAsia="zh-CN"/>
        </w:rPr>
        <w:t>3,576.64</w:t>
      </w:r>
      <w:r>
        <w:rPr>
          <w:rFonts w:hint="eastAsia" w:ascii="仿宋_GB2312" w:eastAsia="仿宋_GB2312"/>
          <w:color w:val="auto"/>
          <w:spacing w:val="0"/>
          <w:sz w:val="32"/>
          <w:szCs w:val="32"/>
          <w:highlight w:val="none"/>
          <w:lang w:eastAsia="zh-CN"/>
        </w:rPr>
        <w:t>万元。</w:t>
      </w:r>
      <w:r>
        <w:rPr>
          <w:rFonts w:hint="eastAsia" w:ascii="仿宋_GB2312" w:hAnsi="Times New Roman" w:eastAsia="仿宋_GB2312" w:cs="Times New Roman"/>
          <w:b/>
          <w:bCs/>
          <w:sz w:val="32"/>
          <w:szCs w:val="32"/>
          <w:highlight w:val="none"/>
          <w:lang w:eastAsia="zh-CN"/>
        </w:rPr>
        <w:t>财政拨款支出</w:t>
      </w:r>
      <w:r>
        <w:rPr>
          <w:rFonts w:hint="eastAsia" w:ascii="仿宋_GB2312" w:hAnsi="Times New Roman" w:eastAsia="仿宋_GB2312" w:cs="Times New Roman"/>
          <w:b/>
          <w:bCs/>
          <w:sz w:val="32"/>
          <w:szCs w:val="32"/>
          <w:highlight w:val="none"/>
          <w:lang w:val="en-US" w:eastAsia="zh-CN"/>
        </w:rPr>
        <w:t>总计</w:t>
      </w:r>
      <w:r>
        <w:rPr>
          <w:rFonts w:hint="eastAsia" w:ascii="仿宋_GB2312" w:hAnsi="Times New Roman" w:eastAsia="仿宋_GB2312" w:cs="Times New Roman"/>
          <w:b/>
          <w:bCs/>
          <w:sz w:val="32"/>
          <w:szCs w:val="32"/>
          <w:highlight w:val="none"/>
          <w:lang w:val="zh-CN" w:eastAsia="zh-CN"/>
        </w:rPr>
        <w:t>3,577.28</w:t>
      </w:r>
      <w:r>
        <w:rPr>
          <w:rFonts w:hint="eastAsia" w:ascii="仿宋_GB2312" w:hAnsi="Times New Roman" w:eastAsia="仿宋_GB2312" w:cs="Times New Roman"/>
          <w:b/>
          <w:bCs/>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w:t>
      </w:r>
      <w:r>
        <w:rPr>
          <w:rFonts w:hint="eastAsia" w:ascii="仿宋_GB2312" w:eastAsia="仿宋_GB2312"/>
          <w:color w:val="auto"/>
          <w:spacing w:val="0"/>
          <w:sz w:val="32"/>
          <w:szCs w:val="32"/>
          <w:highlight w:val="none"/>
          <w:lang w:val="zh-CN" w:eastAsia="zh-CN"/>
        </w:rPr>
        <w:t>0.64</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eastAsia" w:ascii="仿宋_GB2312" w:eastAsia="仿宋_GB2312"/>
          <w:color w:val="auto"/>
          <w:spacing w:val="0"/>
          <w:sz w:val="32"/>
          <w:szCs w:val="32"/>
          <w:highlight w:val="none"/>
          <w:lang w:val="zh-CN" w:eastAsia="zh-CN"/>
        </w:rPr>
        <w:t>3,576.64</w:t>
      </w:r>
      <w:r>
        <w:rPr>
          <w:rFonts w:hint="eastAsia" w:ascii="仿宋_GB2312" w:eastAsia="仿宋_GB2312"/>
          <w:color w:val="auto"/>
          <w:spacing w:val="0"/>
          <w:sz w:val="32"/>
          <w:szCs w:val="32"/>
          <w:highlight w:val="none"/>
          <w:lang w:eastAsia="zh-CN"/>
        </w:rPr>
        <w:t>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hAnsi="仿宋_GB2312" w:eastAsia="仿宋_GB2312" w:cs="仿宋_GB2312"/>
          <w:b/>
          <w:bCs w:val="0"/>
          <w:kern w:val="0"/>
          <w:sz w:val="32"/>
          <w:szCs w:val="32"/>
          <w:highlight w:val="none"/>
          <w:lang w:eastAsia="zh-CN"/>
        </w:rPr>
        <w:t>财政拨款收入支出总体与上年相比</w:t>
      </w:r>
      <w:r>
        <w:rPr>
          <w:rFonts w:hint="eastAsia" w:ascii="仿宋_GB2312" w:hAnsi="仿宋_GB2312" w:eastAsia="仿宋_GB2312" w:cs="仿宋_GB2312"/>
          <w:b/>
          <w:bCs w:val="0"/>
          <w:kern w:val="0"/>
          <w:sz w:val="32"/>
          <w:szCs w:val="32"/>
          <w:highlight w:val="none"/>
          <w:lang w:val="en-US" w:eastAsia="zh-CN"/>
        </w:rPr>
        <w:t>,</w:t>
      </w:r>
      <w:r>
        <w:rPr>
          <w:rFonts w:hint="eastAsia" w:ascii="仿宋_GB2312" w:eastAsia="仿宋_GB2312"/>
          <w:color w:val="auto"/>
          <w:spacing w:val="0"/>
          <w:sz w:val="32"/>
          <w:szCs w:val="32"/>
          <w:highlight w:val="none"/>
          <w:lang w:val="zh-CN" w:eastAsia="zh-CN"/>
        </w:rPr>
        <w:t>增加</w:t>
      </w:r>
      <w:r>
        <w:rPr>
          <w:rFonts w:hint="eastAsia" w:ascii="仿宋_GB2312" w:eastAsia="仿宋_GB2312"/>
          <w:color w:val="auto"/>
          <w:spacing w:val="0"/>
          <w:sz w:val="32"/>
          <w:szCs w:val="32"/>
          <w:highlight w:val="none"/>
          <w:lang w:val="en-US" w:eastAsia="zh-CN"/>
        </w:rPr>
        <w:t>1380.45</w:t>
      </w:r>
      <w:r>
        <w:rPr>
          <w:rFonts w:hint="eastAsia" w:ascii="仿宋_GB2312" w:eastAsia="仿宋_GB2312"/>
          <w:color w:val="auto"/>
          <w:spacing w:val="0"/>
          <w:sz w:val="32"/>
          <w:szCs w:val="32"/>
          <w:highlight w:val="none"/>
          <w:lang w:val="zh-CN" w:eastAsia="zh-CN"/>
        </w:rPr>
        <w:t>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增长62.84%,</w:t>
      </w:r>
      <w:r>
        <w:rPr>
          <w:rFonts w:hint="eastAsia" w:ascii="仿宋_GB2312" w:eastAsia="仿宋_GB2312"/>
          <w:color w:val="auto"/>
          <w:spacing w:val="0"/>
          <w:sz w:val="32"/>
          <w:szCs w:val="32"/>
          <w:highlight w:val="none"/>
          <w:lang w:eastAsia="zh-CN"/>
        </w:rPr>
        <w:t>主要原因是：</w:t>
      </w:r>
      <w:r>
        <w:rPr>
          <w:rFonts w:hint="eastAsia" w:ascii="仿宋_GB2312" w:eastAsia="仿宋_GB2312"/>
          <w:sz w:val="32"/>
          <w:szCs w:val="32"/>
          <w:highlight w:val="none"/>
        </w:rPr>
        <w:t>专项项目收入增加，人员工资福利调资</w:t>
      </w:r>
      <w:r>
        <w:rPr>
          <w:rFonts w:hint="eastAsia" w:ascii="仿宋_GB2312" w:eastAsia="仿宋_GB2312"/>
          <w:sz w:val="32"/>
          <w:szCs w:val="32"/>
          <w:highlight w:val="none"/>
          <w:lang w:val="en-US" w:eastAsia="zh-CN"/>
        </w:rPr>
        <w:t>调增</w:t>
      </w:r>
      <w:r>
        <w:rPr>
          <w:rFonts w:hint="eastAsia" w:ascii="仿宋_GB2312" w:eastAsia="仿宋_GB2312"/>
          <w:sz w:val="32"/>
          <w:szCs w:val="32"/>
          <w:highlight w:val="none"/>
        </w:rPr>
        <w:t>增加，上年度欠付的项目疫情防控资金于今年支付</w:t>
      </w:r>
      <w:r>
        <w:rPr>
          <w:rFonts w:hint="eastAsia" w:ascii="仿宋_GB2312" w:eastAsia="仿宋_GB2312"/>
          <w:color w:val="auto"/>
          <w:spacing w:val="0"/>
          <w:sz w:val="32"/>
          <w:szCs w:val="32"/>
          <w:highlight w:val="none"/>
          <w:lang w:eastAsia="zh-CN"/>
        </w:rPr>
        <w:t>。</w:t>
      </w:r>
      <w:r>
        <w:rPr>
          <w:rFonts w:hint="eastAsia" w:ascii="仿宋_GB2312" w:hAnsi="Times New Roman" w:eastAsia="仿宋_GB2312" w:cs="Times New Roman"/>
          <w:b/>
          <w:bCs/>
          <w:sz w:val="32"/>
          <w:szCs w:val="32"/>
          <w:highlight w:val="none"/>
          <w:lang w:eastAsia="zh-CN"/>
        </w:rPr>
        <w:t>与年初预算相比，</w:t>
      </w:r>
      <w:r>
        <w:rPr>
          <w:rFonts w:hint="eastAsia" w:ascii="仿宋_GB2312" w:eastAsia="仿宋_GB2312"/>
          <w:color w:val="auto"/>
          <w:spacing w:val="0"/>
          <w:sz w:val="32"/>
          <w:szCs w:val="32"/>
          <w:highlight w:val="none"/>
          <w:lang w:eastAsia="zh-CN"/>
        </w:rPr>
        <w:t>年初预算数</w:t>
      </w:r>
      <w:r>
        <w:rPr>
          <w:rFonts w:hint="eastAsia" w:ascii="仿宋_GB2312" w:eastAsia="仿宋_GB2312"/>
          <w:color w:val="auto"/>
          <w:spacing w:val="0"/>
          <w:sz w:val="32"/>
          <w:szCs w:val="32"/>
          <w:highlight w:val="none"/>
          <w:lang w:val="zh-CN" w:eastAsia="zh-CN"/>
        </w:rPr>
        <w:t>2,066.89</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3,577.28</w:t>
      </w:r>
      <w:r>
        <w:rPr>
          <w:rFonts w:hint="eastAsia" w:ascii="仿宋_GB2312" w:eastAsia="仿宋_GB2312"/>
          <w:color w:val="auto"/>
          <w:spacing w:val="0"/>
          <w:sz w:val="32"/>
          <w:szCs w:val="32"/>
          <w:highlight w:val="none"/>
          <w:lang w:eastAsia="zh-CN"/>
        </w:rPr>
        <w:t>万元，预决算差异率73.08%，主要原因是：</w:t>
      </w:r>
      <w:r>
        <w:rPr>
          <w:rFonts w:hint="eastAsia" w:ascii="仿宋_GB2312" w:eastAsia="仿宋_GB2312"/>
          <w:color w:val="auto"/>
          <w:spacing w:val="0"/>
          <w:sz w:val="32"/>
          <w:szCs w:val="32"/>
          <w:highlight w:val="none"/>
          <w:lang w:val="en-US" w:eastAsia="zh-CN"/>
        </w:rPr>
        <w:t>2023疫情项目资金增加，工资基数普调调增</w:t>
      </w:r>
      <w:r>
        <w:rPr>
          <w:rFonts w:hint="eastAsia" w:ascii="仿宋_GB2312" w:eastAsia="仿宋_GB2312"/>
          <w:color w:val="auto"/>
          <w:spacing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6" w:name="_Toc20360"/>
      <w:bookmarkStart w:id="17"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left"/>
        <w:textAlignment w:val="auto"/>
        <w:rPr>
          <w:rFonts w:hint="default" w:ascii="仿宋_GB2312" w:eastAsia="仿宋_GB2312"/>
          <w:color w:val="auto"/>
          <w:spacing w:val="0"/>
          <w:sz w:val="32"/>
          <w:szCs w:val="32"/>
          <w:highlight w:val="none"/>
          <w:lang w:val="en-US" w:eastAsia="zh-CN"/>
        </w:rPr>
      </w:pPr>
      <w:r>
        <w:rPr>
          <w:rFonts w:hint="eastAsia" w:ascii="仿宋_GB2312" w:hAnsi="Times New Roman" w:eastAsia="仿宋_GB2312" w:cs="Times New Roman"/>
          <w:b/>
          <w:bCs/>
          <w:spacing w:val="0"/>
          <w:sz w:val="32"/>
          <w:szCs w:val="32"/>
          <w:highlight w:val="none"/>
          <w:lang w:eastAsia="zh-CN"/>
        </w:rPr>
        <w:t>2023年度一般公共预算财政拨款支出3,576.64万元，</w:t>
      </w:r>
      <w:r>
        <w:rPr>
          <w:rFonts w:hint="eastAsia" w:ascii="仿宋_GB2312" w:eastAsia="仿宋_GB2312"/>
          <w:color w:val="auto"/>
          <w:spacing w:val="0"/>
          <w:sz w:val="32"/>
          <w:szCs w:val="32"/>
          <w:highlight w:val="none"/>
          <w:lang w:eastAsia="zh-CN"/>
        </w:rPr>
        <w:t>占本年支出合计的</w:t>
      </w:r>
      <w:r>
        <w:rPr>
          <w:rFonts w:hint="eastAsia" w:ascii="仿宋_GB2312" w:eastAsia="仿宋_GB2312"/>
          <w:color w:val="auto"/>
          <w:spacing w:val="0"/>
          <w:sz w:val="32"/>
          <w:szCs w:val="32"/>
          <w:highlight w:val="none"/>
          <w:lang w:val="zh-CN" w:eastAsia="zh-CN"/>
        </w:rPr>
        <w:t>97.26%</w:t>
      </w:r>
      <w:r>
        <w:rPr>
          <w:rFonts w:hint="eastAsia" w:ascii="仿宋_GB2312" w:eastAsia="仿宋_GB2312"/>
          <w:color w:val="auto"/>
          <w:spacing w:val="0"/>
          <w:sz w:val="32"/>
          <w:szCs w:val="32"/>
          <w:highlight w:val="none"/>
          <w:lang w:eastAsia="zh-CN"/>
        </w:rPr>
        <w:t>。</w:t>
      </w:r>
      <w:r>
        <w:rPr>
          <w:rFonts w:hint="eastAsia" w:ascii="仿宋_GB2312" w:hAnsi="Times New Roman" w:eastAsia="仿宋_GB2312" w:cs="Times New Roman"/>
          <w:b/>
          <w:bCs/>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增加</w:t>
      </w:r>
      <w:r>
        <w:rPr>
          <w:rFonts w:hint="eastAsia" w:ascii="仿宋_GB2312" w:eastAsia="仿宋_GB2312"/>
          <w:color w:val="auto"/>
          <w:spacing w:val="0"/>
          <w:sz w:val="32"/>
          <w:szCs w:val="32"/>
          <w:highlight w:val="none"/>
          <w:lang w:val="en-US" w:eastAsia="zh-CN"/>
        </w:rPr>
        <w:t>1380.45</w:t>
      </w:r>
      <w:r>
        <w:rPr>
          <w:rFonts w:hint="eastAsia" w:ascii="仿宋_GB2312" w:eastAsia="仿宋_GB2312"/>
          <w:color w:val="auto"/>
          <w:spacing w:val="0"/>
          <w:sz w:val="32"/>
          <w:szCs w:val="32"/>
          <w:highlight w:val="none"/>
          <w:lang w:val="zh-CN" w:eastAsia="zh-CN"/>
        </w:rPr>
        <w:t>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增长62.84%,</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pacing w:val="0"/>
          <w:sz w:val="32"/>
          <w:szCs w:val="32"/>
          <w:highlight w:val="none"/>
          <w:lang w:val="en-US" w:eastAsia="zh-CN"/>
        </w:rPr>
        <w:t>2023疫情项目资金增加，工资基数普调调增</w:t>
      </w:r>
      <w:r>
        <w:rPr>
          <w:rFonts w:hint="eastAsia" w:ascii="仿宋_GB2312" w:eastAsia="仿宋_GB2312"/>
          <w:color w:val="auto"/>
          <w:spacing w:val="0"/>
          <w:sz w:val="32"/>
          <w:szCs w:val="32"/>
          <w:highlight w:val="none"/>
          <w:lang w:eastAsia="zh-CN"/>
        </w:rPr>
        <w:t>。</w:t>
      </w:r>
      <w:r>
        <w:rPr>
          <w:rFonts w:hint="eastAsia" w:ascii="仿宋_GB2312" w:hAnsi="Times New Roman" w:eastAsia="仿宋_GB2312" w:cs="Times New Roman"/>
          <w:b/>
          <w:bCs/>
          <w:sz w:val="32"/>
          <w:szCs w:val="32"/>
          <w:highlight w:val="none"/>
          <w:lang w:eastAsia="zh-CN"/>
        </w:rPr>
        <w:t>与年初预算相比，</w:t>
      </w:r>
      <w:r>
        <w:rPr>
          <w:rFonts w:hint="eastAsia" w:ascii="仿宋_GB2312" w:eastAsia="仿宋_GB2312"/>
          <w:color w:val="auto"/>
          <w:spacing w:val="0"/>
          <w:sz w:val="32"/>
          <w:szCs w:val="32"/>
          <w:highlight w:val="none"/>
          <w:lang w:eastAsia="zh-CN"/>
        </w:rPr>
        <w:t>年初预算数</w:t>
      </w:r>
      <w:r>
        <w:rPr>
          <w:rFonts w:hint="eastAsia" w:ascii="仿宋_GB2312" w:eastAsia="仿宋_GB2312"/>
          <w:color w:val="auto"/>
          <w:spacing w:val="0"/>
          <w:sz w:val="32"/>
          <w:szCs w:val="32"/>
          <w:highlight w:val="none"/>
          <w:lang w:val="zh-CN" w:eastAsia="zh-CN"/>
        </w:rPr>
        <w:t>2,066.89</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3,576.64</w:t>
      </w:r>
      <w:r>
        <w:rPr>
          <w:rFonts w:hint="eastAsia" w:ascii="仿宋_GB2312" w:eastAsia="仿宋_GB2312"/>
          <w:color w:val="auto"/>
          <w:spacing w:val="0"/>
          <w:sz w:val="32"/>
          <w:szCs w:val="32"/>
          <w:highlight w:val="none"/>
          <w:lang w:eastAsia="zh-CN"/>
        </w:rPr>
        <w:t>万元，预决算差异率</w:t>
      </w:r>
      <w:r>
        <w:rPr>
          <w:rFonts w:hint="eastAsia" w:ascii="仿宋_GB2312" w:eastAsia="仿宋_GB2312"/>
          <w:color w:val="auto"/>
          <w:spacing w:val="0"/>
          <w:sz w:val="32"/>
          <w:szCs w:val="32"/>
          <w:highlight w:val="none"/>
          <w:lang w:val="zh-CN" w:eastAsia="zh-CN"/>
        </w:rPr>
        <w:t>73.04%</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pacing w:val="0"/>
          <w:sz w:val="32"/>
          <w:szCs w:val="32"/>
          <w:highlight w:val="none"/>
          <w:lang w:val="en-US" w:eastAsia="zh-CN"/>
        </w:rPr>
        <w:t>2023疫情项目资金增加，工资基数普调调增</w:t>
      </w:r>
      <w:r>
        <w:rPr>
          <w:rFonts w:hint="eastAsia" w:ascii="仿宋_GB2312" w:eastAsia="仿宋_GB2312"/>
          <w:color w:val="auto"/>
          <w:spacing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default" w:ascii="黑体" w:hAnsi="黑体" w:eastAsia="黑体" w:cs="Times New Roman"/>
          <w:color w:val="auto"/>
          <w:sz w:val="32"/>
          <w:szCs w:val="32"/>
          <w:highlight w:val="none"/>
          <w:lang w:val="zh-CN" w:eastAsia="zh-CN"/>
        </w:rPr>
      </w:pPr>
      <w:r>
        <w:rPr>
          <w:rFonts w:hint="eastAsia" w:ascii="黑体" w:hAnsi="黑体" w:eastAsia="黑体" w:cs="Times New Roman"/>
          <w:color w:val="auto"/>
          <w:sz w:val="32"/>
          <w:szCs w:val="32"/>
          <w:highlight w:val="none"/>
          <w:lang w:eastAsia="zh-CN"/>
        </w:rPr>
        <w:t>（</w:t>
      </w:r>
      <w:r>
        <w:rPr>
          <w:rFonts w:hint="eastAsia" w:ascii="黑体" w:hAnsi="黑体" w:eastAsia="黑体" w:cs="Times New Roman"/>
          <w:color w:val="auto"/>
          <w:sz w:val="32"/>
          <w:szCs w:val="32"/>
          <w:highlight w:val="none"/>
          <w:lang w:val="en-US" w:eastAsia="zh-CN"/>
        </w:rPr>
        <w:t>二</w:t>
      </w:r>
      <w:r>
        <w:rPr>
          <w:rFonts w:hint="eastAsia" w:ascii="黑体" w:hAnsi="黑体" w:eastAsia="黑体" w:cs="Times New Roman"/>
          <w:color w:val="auto"/>
          <w:sz w:val="32"/>
          <w:szCs w:val="32"/>
          <w:highlight w:val="none"/>
          <w:lang w:eastAsia="zh-CN"/>
        </w:rPr>
        <w:t>）一般公共预算</w:t>
      </w:r>
      <w:r>
        <w:rPr>
          <w:rFonts w:hint="eastAsia" w:ascii="黑体" w:hAnsi="黑体" w:eastAsia="黑体" w:cs="Times New Roman"/>
          <w:color w:val="auto"/>
          <w:sz w:val="32"/>
          <w:szCs w:val="32"/>
          <w:highlight w:val="none"/>
          <w:lang w:val="en-US" w:eastAsia="zh-CN"/>
        </w:rPr>
        <w:t>财政拨款支出决算</w:t>
      </w:r>
      <w:r>
        <w:rPr>
          <w:rFonts w:hint="eastAsia" w:ascii="黑体" w:hAnsi="黑体" w:eastAsia="黑体" w:cs="Times New Roman"/>
          <w:color w:val="auto"/>
          <w:sz w:val="32"/>
          <w:szCs w:val="32"/>
          <w:highlight w:val="none"/>
          <w:lang w:eastAsia="zh-CN"/>
        </w:rPr>
        <w:t>结构情况</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1</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社会保障和就业支出（类）</w:t>
      </w:r>
      <w:r>
        <w:rPr>
          <w:rFonts w:hint="eastAsia" w:ascii="仿宋_GB2312" w:hAnsi="Times New Roman" w:eastAsia="仿宋_GB2312" w:cs="Times New Roman"/>
          <w:color w:val="auto"/>
          <w:spacing w:val="0"/>
          <w:kern w:val="2"/>
          <w:sz w:val="32"/>
          <w:szCs w:val="32"/>
          <w:highlight w:val="none"/>
          <w:lang w:val="zh-CN" w:eastAsia="zh-CN" w:bidi="ar-SA"/>
        </w:rPr>
        <w:t>52.70</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1.47</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2</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卫生健康支出（类）</w:t>
      </w:r>
      <w:r>
        <w:rPr>
          <w:rFonts w:hint="eastAsia" w:ascii="仿宋_GB2312" w:hAnsi="Times New Roman" w:eastAsia="仿宋_GB2312" w:cs="Times New Roman"/>
          <w:color w:val="auto"/>
          <w:spacing w:val="0"/>
          <w:kern w:val="2"/>
          <w:sz w:val="32"/>
          <w:szCs w:val="32"/>
          <w:highlight w:val="none"/>
          <w:lang w:val="zh-CN" w:eastAsia="zh-CN" w:bidi="ar-SA"/>
        </w:rPr>
        <w:t>3,499.29</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97.84</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3</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住房保障支出（类）</w:t>
      </w:r>
      <w:r>
        <w:rPr>
          <w:rFonts w:hint="eastAsia" w:ascii="仿宋_GB2312" w:hAnsi="Times New Roman" w:eastAsia="仿宋_GB2312" w:cs="Times New Roman"/>
          <w:color w:val="auto"/>
          <w:spacing w:val="0"/>
          <w:kern w:val="2"/>
          <w:sz w:val="32"/>
          <w:szCs w:val="32"/>
          <w:highlight w:val="none"/>
          <w:lang w:val="zh-CN" w:eastAsia="zh-CN" w:bidi="ar-SA"/>
        </w:rPr>
        <w:t>24.65</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0.69</w:t>
      </w:r>
      <w:r>
        <w:rPr>
          <w:rFonts w:hint="default"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1.卫生健康支出（类）行政事业单位医疗（款）行政单位医疗（项）:支出决算数为13.92</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减少1.29万元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下降8.48</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ascii="仿宋_GB2312" w:eastAsia="仿宋_GB2312"/>
          <w:sz w:val="32"/>
          <w:szCs w:val="32"/>
          <w:highlight w:val="none"/>
          <w:lang w:val="en-US" w:eastAsia="zh-CN"/>
        </w:rPr>
        <w:t>单位有一人退休，在职工资调整到退休人员。</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2.社会保障和就业支出（类）行政事业单位养老支出（款）行政单位离退休（项）:支出决算数为15.50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减少13.31万元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下降46.20</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eastAsia="仿宋_GB2312" w:cs="Times New Roman"/>
          <w:b w:val="0"/>
          <w:bCs w:val="0"/>
          <w:color w:val="000000" w:themeColor="text1"/>
          <w:kern w:val="2"/>
          <w:sz w:val="32"/>
          <w:szCs w:val="32"/>
          <w:highlight w:val="none"/>
          <w:lang w:val="en-US" w:eastAsia="zh-CN" w:bidi="ar-SA"/>
          <w14:textFill>
            <w14:solidFill>
              <w14:schemeClr w14:val="tx1"/>
            </w14:solidFill>
          </w14:textFill>
        </w:rPr>
        <w:t>2023年退休人员相关费用支出减少</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3.社会保障和就业支出（类）行政事业单位养老支出（款）机关事业单位基本养老保险缴费支出（项）:支出决算数为31.29</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增加0.7万元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增长2.29</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ascii="仿宋_GB2312" w:eastAsia="仿宋_GB2312"/>
          <w:sz w:val="32"/>
          <w:szCs w:val="32"/>
          <w:highlight w:val="none"/>
          <w:lang w:val="en-US" w:eastAsia="zh-CN"/>
        </w:rPr>
        <w:t>人员工资福利调资增加，社保基数调整</w:t>
      </w:r>
      <w:r>
        <w:rPr>
          <w:rFonts w:hint="eastAsia" w:ascii="仿宋_GB2312" w:eastAsia="仿宋_GB2312"/>
          <w:color w:val="auto"/>
          <w:spacing w:val="0"/>
          <w:sz w:val="32"/>
          <w:szCs w:val="32"/>
          <w:highlight w:val="none"/>
          <w:lang w:val="en-US" w:eastAsia="zh-CN"/>
        </w:rPr>
        <w:t>调增</w:t>
      </w:r>
      <w:r>
        <w:rPr>
          <w:rFonts w:hint="eastAsia" w:ascii="仿宋_GB2312" w:eastAsia="仿宋_GB2312"/>
          <w:sz w:val="32"/>
          <w:szCs w:val="32"/>
          <w:highlight w:val="none"/>
          <w:lang w:val="en-US" w:eastAsia="zh-CN"/>
        </w:rPr>
        <w:t>。</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Times New Roman" w:hAnsi="Times New Roman" w:eastAsia="仿宋_GB2312" w:cs="Times New Roman"/>
          <w:color w:val="auto"/>
          <w:kern w:val="2"/>
          <w:sz w:val="32"/>
          <w:szCs w:val="32"/>
          <w:highlight w:val="none"/>
          <w:lang w:val="en-US" w:eastAsia="zh-CN" w:bidi="ar-SA"/>
        </w:rPr>
        <w:t>4.卫生健康支出（类）卫生健康管理事务（款）行政运行（项）:支出决算数为307.77</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增加0.74万元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增长0.24</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ascii="仿宋_GB2312" w:eastAsia="仿宋_GB2312"/>
          <w:sz w:val="32"/>
          <w:szCs w:val="32"/>
          <w:highlight w:val="none"/>
          <w:lang w:val="en-US" w:eastAsia="zh-CN"/>
        </w:rPr>
        <w:t>人员工资福利调资增加，社保基数调整</w:t>
      </w:r>
      <w:r>
        <w:rPr>
          <w:rFonts w:hint="eastAsia" w:ascii="仿宋_GB2312" w:eastAsia="仿宋_GB2312"/>
          <w:color w:val="auto"/>
          <w:spacing w:val="0"/>
          <w:sz w:val="32"/>
          <w:szCs w:val="32"/>
          <w:highlight w:val="none"/>
          <w:lang w:val="en-US" w:eastAsia="zh-CN"/>
        </w:rPr>
        <w:t>调增</w:t>
      </w:r>
      <w:r>
        <w:rPr>
          <w:rFonts w:hint="eastAsia" w:ascii="仿宋_GB2312" w:eastAsia="仿宋_GB2312"/>
          <w:sz w:val="32"/>
          <w:szCs w:val="32"/>
          <w:highlight w:val="none"/>
          <w:lang w:val="en-US" w:eastAsia="zh-CN"/>
        </w:rPr>
        <w:t>。</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Times New Roman" w:hAnsi="Times New Roman" w:eastAsia="仿宋_GB2312" w:cs="Times New Roman"/>
          <w:color w:val="auto"/>
          <w:kern w:val="2"/>
          <w:sz w:val="32"/>
          <w:szCs w:val="32"/>
          <w:highlight w:val="none"/>
          <w:lang w:val="en-US" w:eastAsia="zh-CN" w:bidi="ar-SA"/>
        </w:rPr>
        <w:t>5.卫生健康支出（类）公共卫生（款）突发公共卫生事件应急处理（项）:支出决算数为2,891.19</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增加1455.16万元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增长101.33</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eastAsia="仿宋_GB2312" w:cs="Times New Roman"/>
          <w:color w:val="auto"/>
          <w:kern w:val="2"/>
          <w:sz w:val="32"/>
          <w:szCs w:val="32"/>
          <w:highlight w:val="none"/>
          <w:lang w:val="en-US" w:eastAsia="zh-CN" w:bidi="ar-SA"/>
        </w:rPr>
        <w:t>本年新冠疫情防控项目资金增加。</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6.卫生健康支出（类）计划生育事务（款）计划生育服务（项）:支出决算数为265.42</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增加8.54万元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增长3.32</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eastAsia="仿宋_GB2312" w:cs="Times New Roman"/>
          <w:color w:val="auto"/>
          <w:kern w:val="2"/>
          <w:sz w:val="32"/>
          <w:szCs w:val="32"/>
          <w:highlight w:val="none"/>
          <w:lang w:val="en-US" w:eastAsia="zh-CN" w:bidi="ar-SA"/>
        </w:rPr>
        <w:t>2023年享受计划生育政策</w:t>
      </w:r>
      <w:r>
        <w:rPr>
          <w:rFonts w:hint="eastAsia" w:eastAsia="仿宋_GB2312" w:cs="Times New Roman"/>
          <w:color w:val="auto"/>
          <w:kern w:val="2"/>
          <w:sz w:val="32"/>
          <w:szCs w:val="32"/>
          <w:highlight w:val="none"/>
          <w:lang w:val="zh-CN" w:eastAsia="zh-CN" w:bidi="ar-SA"/>
        </w:rPr>
        <w:t>人员增加，</w:t>
      </w:r>
      <w:r>
        <w:rPr>
          <w:rFonts w:hint="eastAsia" w:eastAsia="仿宋_GB2312" w:cs="Times New Roman"/>
          <w:color w:val="auto"/>
          <w:kern w:val="2"/>
          <w:sz w:val="32"/>
          <w:szCs w:val="32"/>
          <w:highlight w:val="none"/>
          <w:lang w:val="en-US" w:eastAsia="zh-CN" w:bidi="ar-SA"/>
        </w:rPr>
        <w:t>经费</w:t>
      </w:r>
      <w:r>
        <w:rPr>
          <w:rFonts w:hint="eastAsia" w:eastAsia="仿宋_GB2312" w:cs="Times New Roman"/>
          <w:color w:val="auto"/>
          <w:kern w:val="2"/>
          <w:sz w:val="32"/>
          <w:szCs w:val="32"/>
          <w:highlight w:val="none"/>
          <w:lang w:val="zh-CN" w:eastAsia="zh-CN" w:bidi="ar-SA"/>
        </w:rPr>
        <w:t>增</w:t>
      </w:r>
      <w:r>
        <w:rPr>
          <w:rFonts w:hint="eastAsia" w:eastAsia="仿宋_GB2312" w:cs="Times New Roman"/>
          <w:color w:val="auto"/>
          <w:kern w:val="2"/>
          <w:sz w:val="32"/>
          <w:szCs w:val="32"/>
          <w:highlight w:val="none"/>
          <w:lang w:val="en-US" w:eastAsia="zh-CN" w:bidi="ar-SA"/>
        </w:rPr>
        <w:t>加</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Times New Roman" w:hAnsi="Times New Roman" w:eastAsia="仿宋_GB2312" w:cs="Times New Roman"/>
          <w:color w:val="auto"/>
          <w:kern w:val="2"/>
          <w:sz w:val="32"/>
          <w:szCs w:val="32"/>
          <w:highlight w:val="none"/>
          <w:lang w:val="en-US" w:eastAsia="zh-CN" w:bidi="ar-SA"/>
        </w:rPr>
        <w:t>7.卫生健康支出（类）行政事业单位医疗（款）公务员医疗补助（项）:支出决算数为3.39</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减少0.63万元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减少15.67</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ascii="仿宋_GB2312" w:eastAsia="仿宋_GB2312"/>
          <w:sz w:val="32"/>
          <w:szCs w:val="32"/>
          <w:highlight w:val="none"/>
          <w:lang w:val="en-US" w:eastAsia="zh-CN"/>
        </w:rPr>
        <w:t>一人退休，在职工资调整到退休人员。</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8.住房保障支出（类）住房改革支出（款）住房公积金（项）:支出决算数为24.65</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减少1.07万元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下降4.16</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ascii="仿宋_GB2312" w:eastAsia="仿宋_GB2312"/>
          <w:sz w:val="32"/>
          <w:szCs w:val="32"/>
          <w:highlight w:val="none"/>
          <w:lang w:val="en-US" w:eastAsia="zh-CN"/>
        </w:rPr>
        <w:t>一人退休，在职工资调整到退休人员。</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9.卫生健康支出（类）老龄卫生健康事务（款）老龄卫生健康事务（项）:支出决算数为17.60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减少55.58万元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下降75.95</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eastAsia="仿宋_GB2312" w:cs="Times New Roman"/>
          <w:color w:val="auto"/>
          <w:kern w:val="2"/>
          <w:sz w:val="32"/>
          <w:szCs w:val="32"/>
          <w:highlight w:val="none"/>
          <w:lang w:val="en-US" w:eastAsia="zh-CN" w:bidi="ar-SA"/>
        </w:rPr>
        <w:t>2022年项目已完工，2023年</w:t>
      </w:r>
      <w:r>
        <w:rPr>
          <w:rFonts w:hint="eastAsia" w:eastAsia="仿宋_GB2312" w:cs="Times New Roman"/>
          <w:color w:val="auto"/>
          <w:kern w:val="2"/>
          <w:sz w:val="32"/>
          <w:szCs w:val="32"/>
          <w:highlight w:val="none"/>
          <w:lang w:val="zh-CN" w:eastAsia="zh-CN" w:bidi="ar-SA"/>
        </w:rPr>
        <w:t>经费支出减少。</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10.社会保障和就业支出（类）行政事业单位养老支出（款）机关事业单位职业年金缴费支出（项）:支出决算数为5.90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减少0.84万元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下降12.46</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eastAsia="仿宋_GB2312" w:cs="Times New Roman"/>
          <w:color w:val="auto"/>
          <w:kern w:val="2"/>
          <w:sz w:val="32"/>
          <w:szCs w:val="32"/>
          <w:highlight w:val="none"/>
          <w:lang w:val="en-US" w:eastAsia="zh-CN" w:bidi="ar-SA"/>
        </w:rPr>
        <w:t>2023年退休人员职业年金公缴部分减少</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eastAsia="仿宋_GB2312" w:cs="Times New Roman"/>
          <w:color w:val="auto"/>
          <w:kern w:val="2"/>
          <w:sz w:val="32"/>
          <w:szCs w:val="32"/>
          <w:highlight w:val="none"/>
          <w:lang w:val="zh-CN" w:eastAsia="zh-CN" w:bidi="ar-SA"/>
        </w:rPr>
      </w:pPr>
      <w:r>
        <w:rPr>
          <w:rFonts w:hint="eastAsia" w:eastAsia="仿宋_GB2312" w:cs="Times New Roman"/>
          <w:color w:val="auto"/>
          <w:kern w:val="2"/>
          <w:sz w:val="32"/>
          <w:szCs w:val="32"/>
          <w:highlight w:val="none"/>
          <w:lang w:val="zh-CN" w:eastAsia="zh-CN" w:bidi="ar-SA"/>
        </w:rPr>
        <w:t>11.卫生健康支出（类）公共卫生（款）基本公共卫生服务（项）:支出决算数为0.00万元，比上年决算减少0.18万元，下降100%，主要原因是</w:t>
      </w:r>
      <w:r>
        <w:rPr>
          <w:rFonts w:hint="eastAsia" w:eastAsia="仿宋_GB2312" w:cs="Times New Roman"/>
          <w:color w:val="auto"/>
          <w:kern w:val="2"/>
          <w:sz w:val="32"/>
          <w:szCs w:val="32"/>
          <w:highlight w:val="none"/>
          <w:lang w:val="en-US" w:eastAsia="zh-CN" w:bidi="ar-SA"/>
        </w:rPr>
        <w:t>:本年基本公共卫生服务上级未拨款</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eastAsia="仿宋_GB2312" w:cs="Times New Roman"/>
          <w:color w:val="auto"/>
          <w:kern w:val="2"/>
          <w:sz w:val="32"/>
          <w:szCs w:val="32"/>
          <w:highlight w:val="none"/>
          <w:lang w:val="zh-CN" w:eastAsia="zh-CN" w:bidi="ar-SA"/>
        </w:rPr>
      </w:pPr>
      <w:r>
        <w:rPr>
          <w:rFonts w:hint="eastAsia" w:eastAsia="仿宋_GB2312" w:cs="Times New Roman"/>
          <w:color w:val="auto"/>
          <w:kern w:val="2"/>
          <w:sz w:val="32"/>
          <w:szCs w:val="32"/>
          <w:highlight w:val="none"/>
          <w:lang w:val="zh-CN" w:eastAsia="zh-CN" w:bidi="ar-SA"/>
        </w:rPr>
        <w:t>12.其他支出（类）其他支出（款）其他支出（项）:支出决算数为0.00万元，比上年决算减少4.97万元，下降100%，主要原因是：上年度援疆项目资金已支付完，本年度无其他支出。</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eastAsia="仿宋_GB2312" w:cs="Times New Roman"/>
          <w:color w:val="auto"/>
          <w:kern w:val="2"/>
          <w:sz w:val="32"/>
          <w:szCs w:val="32"/>
          <w:highlight w:val="none"/>
          <w:lang w:val="zh-CN" w:eastAsia="zh-CN" w:bidi="ar-SA"/>
        </w:rPr>
      </w:pPr>
      <w:r>
        <w:rPr>
          <w:rFonts w:hint="eastAsia" w:eastAsia="仿宋_GB2312" w:cs="Times New Roman"/>
          <w:color w:val="auto"/>
          <w:kern w:val="2"/>
          <w:sz w:val="32"/>
          <w:szCs w:val="32"/>
          <w:highlight w:val="none"/>
          <w:lang w:val="zh-CN" w:eastAsia="zh-CN" w:bidi="ar-SA"/>
        </w:rPr>
        <w:t>13.</w:t>
      </w:r>
      <w:bookmarkStart w:id="48" w:name="_GoBack"/>
      <w:bookmarkEnd w:id="48"/>
      <w:r>
        <w:rPr>
          <w:rFonts w:hint="eastAsia" w:eastAsia="仿宋_GB2312" w:cs="Times New Roman"/>
          <w:color w:val="auto"/>
          <w:kern w:val="2"/>
          <w:sz w:val="32"/>
          <w:szCs w:val="32"/>
          <w:highlight w:val="none"/>
          <w:lang w:val="zh-CN" w:eastAsia="zh-CN" w:bidi="ar-SA"/>
        </w:rPr>
        <w:t>卫生健康支出（类）计划生育事务（款）其他计划生育事务支出（项）:支出决算数为0.00万元，比上年决算减少6.82万元，下降100%，主要原因是：本年其他计划生育事务补助资金上级未拨款。</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eastAsia="zh-CN"/>
        </w:rPr>
        <w:t>420.03</w:t>
      </w:r>
      <w:r>
        <w:rPr>
          <w:rFonts w:hint="eastAsia" w:ascii="仿宋_GB2312" w:eastAsia="仿宋_GB2312"/>
          <w:color w:val="auto"/>
          <w:sz w:val="32"/>
          <w:szCs w:val="32"/>
          <w:highlight w:val="none"/>
        </w:rPr>
        <w:t>万元，其中：</w:t>
      </w:r>
      <w:r>
        <w:rPr>
          <w:rFonts w:hint="eastAsia" w:ascii="仿宋_GB2312" w:hAnsi="Times New Roman" w:eastAsia="仿宋_GB2312" w:cs="Times New Roman"/>
          <w:b/>
          <w:bCs/>
          <w:sz w:val="32"/>
          <w:szCs w:val="32"/>
          <w:highlight w:val="none"/>
        </w:rPr>
        <w:t>人员经费</w:t>
      </w:r>
      <w:r>
        <w:rPr>
          <w:rFonts w:hint="eastAsia" w:ascii="仿宋_GB2312" w:hAnsi="Times New Roman" w:eastAsia="仿宋_GB2312" w:cs="Times New Roman"/>
          <w:b/>
          <w:bCs/>
          <w:sz w:val="32"/>
          <w:szCs w:val="32"/>
          <w:highlight w:val="none"/>
          <w:lang w:eastAsia="zh-CN"/>
        </w:rPr>
        <w:t>366.88</w:t>
      </w:r>
      <w:r>
        <w:rPr>
          <w:rFonts w:hint="eastAsia" w:ascii="仿宋_GB2312" w:hAnsi="Times New Roman" w:eastAsia="仿宋_GB2312" w:cs="Times New Roman"/>
          <w:b/>
          <w:bCs/>
          <w:sz w:val="32"/>
          <w:szCs w:val="32"/>
          <w:highlight w:val="none"/>
        </w:rPr>
        <w:t>万元，</w:t>
      </w:r>
      <w:r>
        <w:rPr>
          <w:rFonts w:hint="eastAsia" w:ascii="仿宋_GB2312" w:eastAsia="仿宋_GB2312"/>
          <w:color w:val="auto"/>
          <w:sz w:val="32"/>
          <w:szCs w:val="32"/>
          <w:highlight w:val="none"/>
        </w:rPr>
        <w:t>包括：</w:t>
      </w:r>
      <w:r>
        <w:rPr>
          <w:rFonts w:hint="eastAsia" w:ascii="仿宋_GB2312" w:eastAsia="仿宋_GB2312"/>
          <w:color w:val="auto"/>
          <w:sz w:val="32"/>
          <w:szCs w:val="32"/>
          <w:highlight w:val="none"/>
          <w:lang w:val="en-US" w:eastAsia="zh-CN"/>
        </w:rPr>
        <w:t>基本工资、津贴补贴、奖金、绩效工资、机关事业单位基本养老保险缴费、职业年金缴费、职工基本医疗保险缴费、公务员医疗补助缴费、其他社会保障缴费、住房公积金、退休费、生活补助、医疗费补助、奖励金。</w:t>
      </w:r>
    </w:p>
    <w:p>
      <w:pPr>
        <w:keepNext w:val="0"/>
        <w:keepLines w:val="0"/>
        <w:pageBreakBefore w:val="0"/>
        <w:widowControl w:val="0"/>
        <w:kinsoku/>
        <w:wordWrap/>
        <w:overflowPunct/>
        <w:topLinePunct w:val="0"/>
        <w:bidi w:val="0"/>
        <w:adjustRightInd/>
        <w:snapToGrid/>
        <w:spacing w:line="240" w:lineRule="auto"/>
        <w:ind w:firstLine="643" w:firstLineChars="200"/>
        <w:jc w:val="left"/>
        <w:textAlignment w:val="auto"/>
        <w:rPr>
          <w:rFonts w:hint="eastAsia" w:ascii="仿宋_GB2312" w:eastAsia="仿宋_GB2312"/>
          <w:color w:val="auto"/>
          <w:sz w:val="32"/>
          <w:szCs w:val="32"/>
          <w:highlight w:val="red"/>
          <w:lang w:val="en-US" w:eastAsia="zh-CN"/>
        </w:rPr>
      </w:pPr>
      <w:r>
        <w:rPr>
          <w:rFonts w:hint="eastAsia" w:ascii="仿宋_GB2312" w:hAnsi="Times New Roman" w:eastAsia="仿宋_GB2312" w:cs="Times New Roman"/>
          <w:b/>
          <w:bCs/>
          <w:sz w:val="32"/>
          <w:szCs w:val="32"/>
          <w:highlight w:val="none"/>
        </w:rPr>
        <w:t>公用经费</w:t>
      </w:r>
      <w:r>
        <w:rPr>
          <w:rFonts w:hint="eastAsia" w:ascii="仿宋_GB2312" w:hAnsi="Times New Roman" w:eastAsia="仿宋_GB2312" w:cs="Times New Roman"/>
          <w:b/>
          <w:bCs/>
          <w:sz w:val="32"/>
          <w:szCs w:val="32"/>
          <w:highlight w:val="none"/>
          <w:lang w:eastAsia="zh-CN"/>
        </w:rPr>
        <w:t>53.15</w:t>
      </w:r>
      <w:r>
        <w:rPr>
          <w:rFonts w:hint="eastAsia" w:ascii="仿宋_GB2312" w:hAnsi="Times New Roman" w:eastAsia="仿宋_GB2312" w:cs="Times New Roman"/>
          <w:b/>
          <w:bCs/>
          <w:sz w:val="32"/>
          <w:szCs w:val="32"/>
          <w:highlight w:val="none"/>
        </w:rPr>
        <w:t>万元，</w:t>
      </w:r>
      <w:r>
        <w:rPr>
          <w:rFonts w:hint="eastAsia" w:ascii="仿宋_GB2312" w:eastAsia="仿宋_GB2312"/>
          <w:color w:val="auto"/>
          <w:sz w:val="32"/>
          <w:szCs w:val="32"/>
          <w:highlight w:val="none"/>
        </w:rPr>
        <w:t>包括：</w:t>
      </w:r>
      <w:r>
        <w:rPr>
          <w:rFonts w:hint="eastAsia" w:ascii="仿宋_GB2312" w:eastAsia="仿宋_GB2312"/>
          <w:color w:val="auto"/>
          <w:sz w:val="32"/>
          <w:szCs w:val="32"/>
          <w:highlight w:val="none"/>
          <w:lang w:val="en-US" w:eastAsia="zh-CN"/>
        </w:rPr>
        <w:t>办公费、印刷费、电费、取暖费、差旅费、专用材料费、劳务费、工会经费、公务用车运行维护费。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pPr>
        <w:keepNext w:val="0"/>
        <w:keepLines w:val="0"/>
        <w:pageBreakBefore w:val="0"/>
        <w:widowControl w:val="0"/>
        <w:kinsoku/>
        <w:wordWrap/>
        <w:overflowPunct/>
        <w:topLinePunct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lang w:val="zh-CN" w:eastAsia="zh-CN"/>
        </w:rPr>
      </w:pPr>
      <w:r>
        <w:rPr>
          <w:rFonts w:hint="eastAsia" w:ascii="仿宋_GB2312" w:hAnsi="Times New Roman" w:eastAsia="仿宋_GB2312" w:cs="Times New Roman"/>
          <w:b/>
          <w:bCs/>
          <w:spacing w:val="0"/>
          <w:sz w:val="32"/>
          <w:szCs w:val="32"/>
          <w:highlight w:val="none"/>
          <w:lang w:val="zh-CN" w:eastAsia="zh-CN"/>
        </w:rPr>
        <w:t>2023年度</w:t>
      </w:r>
      <w:r>
        <w:rPr>
          <w:rFonts w:hint="eastAsia" w:ascii="仿宋_GB2312" w:hAnsi="Times New Roman" w:eastAsia="仿宋_GB2312" w:cs="Times New Roman"/>
          <w:b/>
          <w:bCs/>
          <w:spacing w:val="0"/>
          <w:sz w:val="32"/>
          <w:szCs w:val="32"/>
          <w:highlight w:val="none"/>
          <w:lang w:val="en-US" w:eastAsia="zh-CN"/>
        </w:rPr>
        <w:t>财政拨款</w:t>
      </w:r>
      <w:r>
        <w:rPr>
          <w:rFonts w:hint="eastAsia" w:ascii="仿宋_GB2312" w:hAnsi="Times New Roman" w:eastAsia="仿宋_GB2312" w:cs="Times New Roman"/>
          <w:b/>
          <w:bCs/>
          <w:spacing w:val="0"/>
          <w:sz w:val="32"/>
          <w:szCs w:val="32"/>
          <w:highlight w:val="none"/>
          <w:lang w:val="zh-CN" w:eastAsia="zh-CN"/>
        </w:rPr>
        <w:t>“三公”经费支出0.92万元，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减少</w:t>
      </w:r>
      <w:r>
        <w:rPr>
          <w:rFonts w:hint="eastAsia" w:ascii="仿宋_GB2312" w:eastAsia="仿宋_GB2312"/>
          <w:color w:val="auto"/>
          <w:sz w:val="32"/>
          <w:szCs w:val="32"/>
          <w:highlight w:val="none"/>
          <w:lang w:val="en-US" w:eastAsia="zh-CN"/>
        </w:rPr>
        <w:t>0.23</w:t>
      </w:r>
      <w:r>
        <w:rPr>
          <w:rFonts w:hint="eastAsia" w:ascii="仿宋_GB2312" w:eastAsia="仿宋_GB2312"/>
          <w:color w:val="auto"/>
          <w:sz w:val="32"/>
          <w:szCs w:val="32"/>
          <w:highlight w:val="none"/>
          <w:lang w:val="zh-CN" w:eastAsia="zh-CN"/>
        </w:rPr>
        <w:t>万元，</w:t>
      </w:r>
      <w:r>
        <w:rPr>
          <w:rFonts w:hint="eastAsia" w:ascii="仿宋_GB2312" w:eastAsia="仿宋_GB2312"/>
          <w:color w:val="auto"/>
          <w:spacing w:val="0"/>
          <w:sz w:val="32"/>
          <w:szCs w:val="32"/>
          <w:highlight w:val="none"/>
          <w:lang w:val="en-US" w:eastAsia="zh-CN"/>
        </w:rPr>
        <w:t>下降20%,</w:t>
      </w:r>
      <w:r>
        <w:rPr>
          <w:rFonts w:hint="eastAsia" w:ascii="仿宋_GB2312" w:eastAsia="仿宋_GB2312"/>
          <w:color w:val="auto"/>
          <w:sz w:val="32"/>
          <w:szCs w:val="32"/>
          <w:highlight w:val="none"/>
          <w:lang w:val="zh-CN" w:eastAsia="zh-CN"/>
        </w:rPr>
        <w:t>主要原因是：</w:t>
      </w:r>
      <w:r>
        <w:rPr>
          <w:rFonts w:hint="eastAsia" w:ascii="仿宋_GB2312" w:eastAsia="仿宋_GB2312"/>
          <w:sz w:val="32"/>
          <w:szCs w:val="32"/>
          <w:highlight w:val="none"/>
        </w:rPr>
        <w:t>车辆维修及加油费</w:t>
      </w:r>
      <w:r>
        <w:rPr>
          <w:rFonts w:hint="eastAsia" w:ascii="仿宋_GB2312" w:eastAsia="仿宋_GB2312"/>
          <w:sz w:val="32"/>
          <w:szCs w:val="32"/>
          <w:highlight w:val="none"/>
          <w:lang w:eastAsia="zh-CN"/>
        </w:rPr>
        <w:t>减少</w:t>
      </w:r>
      <w:r>
        <w:rPr>
          <w:rFonts w:hint="eastAsia" w:ascii="仿宋_GB2312" w:eastAsia="仿宋_GB2312"/>
          <w:color w:val="auto"/>
          <w:sz w:val="32"/>
          <w:szCs w:val="32"/>
          <w:highlight w:val="none"/>
          <w:lang w:val="zh-CN" w:eastAsia="zh-CN"/>
        </w:rPr>
        <w:t>。其中：因公出国（境）费支出0.00万元，占0.00%，比上年增加0.00万元，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hint="eastAsia" w:ascii="仿宋_GB2312" w:eastAsia="仿宋_GB2312"/>
          <w:sz w:val="32"/>
          <w:szCs w:val="32"/>
          <w:highlight w:val="none"/>
        </w:rPr>
        <w:t>我单位</w:t>
      </w:r>
      <w:r>
        <w:rPr>
          <w:rFonts w:hint="eastAsia" w:ascii="仿宋_GB2312" w:eastAsia="仿宋_GB2312"/>
          <w:sz w:val="32"/>
          <w:szCs w:val="32"/>
          <w:highlight w:val="none"/>
          <w:lang w:val="en-US" w:eastAsia="zh-CN"/>
        </w:rPr>
        <w:t>没有此项</w:t>
      </w:r>
      <w:r>
        <w:rPr>
          <w:rFonts w:hint="eastAsia" w:ascii="仿宋_GB2312" w:eastAsia="仿宋_GB2312"/>
          <w:sz w:val="32"/>
          <w:szCs w:val="32"/>
          <w:highlight w:val="none"/>
        </w:rPr>
        <w:t>支出；</w:t>
      </w:r>
      <w:r>
        <w:rPr>
          <w:rFonts w:hint="eastAsia" w:ascii="仿宋_GB2312" w:eastAsia="仿宋_GB2312"/>
          <w:color w:val="auto"/>
          <w:sz w:val="32"/>
          <w:szCs w:val="32"/>
          <w:highlight w:val="none"/>
          <w:lang w:val="zh-CN" w:eastAsia="zh-CN"/>
        </w:rPr>
        <w:t>公务用车购置及运行维护费支出0.92万元，占100.00%，比上年减少</w:t>
      </w:r>
      <w:r>
        <w:rPr>
          <w:rFonts w:hint="eastAsia" w:ascii="仿宋_GB2312" w:eastAsia="仿宋_GB2312"/>
          <w:color w:val="auto"/>
          <w:sz w:val="32"/>
          <w:szCs w:val="32"/>
          <w:highlight w:val="none"/>
          <w:lang w:val="en-US" w:eastAsia="zh-CN"/>
        </w:rPr>
        <w:t>0.23</w:t>
      </w:r>
      <w:r>
        <w:rPr>
          <w:rFonts w:hint="eastAsia" w:ascii="仿宋_GB2312" w:eastAsia="仿宋_GB2312"/>
          <w:color w:val="auto"/>
          <w:sz w:val="32"/>
          <w:szCs w:val="32"/>
          <w:highlight w:val="none"/>
          <w:lang w:val="zh-CN" w:eastAsia="zh-CN"/>
        </w:rPr>
        <w:t>万元，</w:t>
      </w:r>
      <w:r>
        <w:rPr>
          <w:rFonts w:hint="eastAsia" w:ascii="仿宋_GB2312" w:eastAsia="仿宋_GB2312"/>
          <w:color w:val="auto"/>
          <w:spacing w:val="0"/>
          <w:sz w:val="32"/>
          <w:szCs w:val="32"/>
          <w:highlight w:val="none"/>
          <w:lang w:val="en-US" w:eastAsia="zh-CN"/>
        </w:rPr>
        <w:t>下降20%，</w:t>
      </w:r>
      <w:r>
        <w:rPr>
          <w:rFonts w:hint="eastAsia" w:ascii="仿宋_GB2312" w:eastAsia="仿宋_GB2312"/>
          <w:color w:val="auto"/>
          <w:sz w:val="32"/>
          <w:szCs w:val="32"/>
          <w:highlight w:val="none"/>
          <w:lang w:val="zh-CN" w:eastAsia="zh-CN"/>
        </w:rPr>
        <w:t>主要原因是：</w:t>
      </w:r>
      <w:r>
        <w:rPr>
          <w:rFonts w:hint="eastAsia" w:ascii="仿宋_GB2312" w:eastAsia="仿宋_GB2312"/>
          <w:sz w:val="32"/>
          <w:szCs w:val="32"/>
          <w:highlight w:val="none"/>
        </w:rPr>
        <w:t>车辆维修及加油费</w:t>
      </w:r>
      <w:r>
        <w:rPr>
          <w:rFonts w:hint="eastAsia" w:ascii="仿宋_GB2312" w:eastAsia="仿宋_GB2312"/>
          <w:sz w:val="32"/>
          <w:szCs w:val="32"/>
          <w:highlight w:val="none"/>
          <w:lang w:eastAsia="zh-CN"/>
        </w:rPr>
        <w:t>减少</w:t>
      </w:r>
      <w:r>
        <w:rPr>
          <w:rFonts w:hint="eastAsia" w:ascii="仿宋_GB2312" w:eastAsia="仿宋_GB2312"/>
          <w:color w:val="auto"/>
          <w:sz w:val="32"/>
          <w:szCs w:val="32"/>
          <w:highlight w:val="none"/>
          <w:lang w:val="zh-CN" w:eastAsia="zh-CN"/>
        </w:rPr>
        <w:t>；公务接待费支出0.00万元，占0.00%，比上年增加0.00万元，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hint="eastAsia" w:ascii="仿宋_GB2312" w:eastAsia="仿宋_GB2312"/>
          <w:sz w:val="32"/>
          <w:szCs w:val="32"/>
          <w:highlight w:val="none"/>
        </w:rPr>
        <w:t>我单位</w:t>
      </w:r>
      <w:r>
        <w:rPr>
          <w:rFonts w:hint="eastAsia" w:ascii="仿宋_GB2312" w:eastAsia="仿宋_GB2312"/>
          <w:sz w:val="32"/>
          <w:szCs w:val="32"/>
          <w:highlight w:val="none"/>
          <w:lang w:val="en-US" w:eastAsia="zh-CN"/>
        </w:rPr>
        <w:t>没有此项</w:t>
      </w:r>
      <w:r>
        <w:rPr>
          <w:rFonts w:hint="eastAsia" w:ascii="仿宋_GB2312" w:eastAsia="仿宋_GB2312"/>
          <w:sz w:val="32"/>
          <w:szCs w:val="32"/>
          <w:highlight w:val="none"/>
        </w:rPr>
        <w:t>支出</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hAnsi="Times New Roman" w:eastAsia="仿宋_GB2312" w:cs="Times New Roman"/>
          <w:b/>
          <w:bCs/>
          <w:sz w:val="32"/>
          <w:szCs w:val="32"/>
          <w:highlight w:val="none"/>
          <w:lang w:val="zh-CN" w:eastAsia="zh-CN"/>
        </w:rPr>
      </w:pPr>
      <w:r>
        <w:rPr>
          <w:rFonts w:hint="eastAsia" w:ascii="仿宋_GB2312" w:hAnsi="Times New Roman" w:eastAsia="仿宋_GB2312" w:cs="Times New Roman"/>
          <w:b/>
          <w:bCs/>
          <w:sz w:val="32"/>
          <w:szCs w:val="32"/>
          <w:highlight w:val="none"/>
          <w:lang w:val="zh-CN"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因公出国（境）费支出0.00万元，</w:t>
      </w:r>
      <w:r>
        <w:rPr>
          <w:rFonts w:hint="eastAsia" w:ascii="仿宋_GB2312" w:eastAsia="仿宋_GB2312"/>
          <w:color w:val="auto"/>
          <w:sz w:val="32"/>
          <w:szCs w:val="32"/>
          <w:highlight w:val="none"/>
          <w:lang w:val="en-US" w:eastAsia="zh-CN"/>
        </w:rPr>
        <w:t>无此项</w:t>
      </w:r>
      <w:r>
        <w:rPr>
          <w:rFonts w:hint="eastAsia" w:ascii="仿宋_GB2312" w:eastAsia="仿宋_GB2312"/>
          <w:color w:val="auto"/>
          <w:sz w:val="32"/>
          <w:szCs w:val="32"/>
          <w:highlight w:val="none"/>
          <w:lang w:val="zh-CN" w:eastAsia="zh-CN"/>
        </w:rPr>
        <w:t>开支内容。单位全年安排的因公出国（境）团组0个，因公出国（境）0人次。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公务用车购置及运行维护费0.92万元，其中：公务用车购置费0.00万元，公务用车运行维护费0.92万元。公务用车运行维护费开支内容包括</w:t>
      </w:r>
      <w:r>
        <w:rPr>
          <w:rFonts w:hint="eastAsia" w:ascii="仿宋_GB2312" w:eastAsia="仿宋_GB2312"/>
          <w:sz w:val="32"/>
          <w:szCs w:val="32"/>
          <w:highlight w:val="none"/>
        </w:rPr>
        <w:t>车辆维修及加油费</w:t>
      </w:r>
      <w:r>
        <w:rPr>
          <w:rFonts w:hint="eastAsia" w:ascii="仿宋_GB2312" w:eastAsia="仿宋_GB2312"/>
          <w:color w:val="auto"/>
          <w:sz w:val="32"/>
          <w:szCs w:val="32"/>
          <w:highlight w:val="none"/>
          <w:lang w:val="zh-CN" w:eastAsia="zh-CN"/>
        </w:rPr>
        <w:t>。公务用车购置数0辆，公务用车保有量3辆。国有资产占用情况</w:t>
      </w:r>
      <w:r>
        <w:rPr>
          <w:rFonts w:hint="eastAsia" w:ascii="仿宋_GB2312" w:eastAsia="仿宋_GB2312"/>
          <w:color w:val="auto"/>
          <w:sz w:val="32"/>
          <w:szCs w:val="32"/>
          <w:highlight w:val="none"/>
          <w:lang w:val="en-US" w:eastAsia="zh-CN"/>
        </w:rPr>
        <w:t>中固定资产车辆</w:t>
      </w:r>
      <w:r>
        <w:rPr>
          <w:rFonts w:hint="eastAsia" w:ascii="仿宋_GB2312" w:eastAsia="仿宋_GB2312"/>
          <w:color w:val="auto"/>
          <w:sz w:val="32"/>
          <w:szCs w:val="32"/>
          <w:highlight w:val="none"/>
          <w:lang w:val="zh-CN" w:eastAsia="zh-CN"/>
        </w:rPr>
        <w:t>3辆，</w:t>
      </w:r>
      <w:r>
        <w:rPr>
          <w:rFonts w:hint="eastAsia" w:ascii="仿宋_GB2312" w:eastAsia="仿宋_GB2312"/>
          <w:color w:val="auto"/>
          <w:sz w:val="32"/>
          <w:szCs w:val="32"/>
          <w:highlight w:val="none"/>
          <w:lang w:val="en-US" w:eastAsia="zh-CN"/>
        </w:rPr>
        <w:t>与</w:t>
      </w:r>
      <w:r>
        <w:rPr>
          <w:rFonts w:hint="eastAsia" w:ascii="仿宋_GB2312" w:eastAsia="仿宋_GB2312"/>
          <w:color w:val="auto"/>
          <w:sz w:val="32"/>
          <w:szCs w:val="32"/>
          <w:highlight w:val="none"/>
          <w:lang w:val="zh-CN" w:eastAsia="zh-CN"/>
        </w:rPr>
        <w:t>公务用车</w:t>
      </w:r>
      <w:r>
        <w:rPr>
          <w:rFonts w:hint="eastAsia" w:ascii="仿宋_GB2312" w:eastAsia="仿宋_GB2312"/>
          <w:color w:val="auto"/>
          <w:sz w:val="32"/>
          <w:szCs w:val="32"/>
          <w:highlight w:val="none"/>
          <w:lang w:val="en-US" w:eastAsia="zh-CN"/>
        </w:rPr>
        <w:t>保有量无差异</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公务接待费0.00万元，开支内容包括</w:t>
      </w:r>
      <w:r>
        <w:rPr>
          <w:rFonts w:hint="eastAsia" w:ascii="仿宋_GB2312" w:eastAsia="仿宋_GB2312"/>
          <w:sz w:val="32"/>
          <w:szCs w:val="32"/>
          <w:highlight w:val="none"/>
        </w:rPr>
        <w:t>我单位</w:t>
      </w:r>
      <w:r>
        <w:rPr>
          <w:rFonts w:hint="eastAsia" w:ascii="仿宋_GB2312" w:eastAsia="仿宋_GB2312"/>
          <w:sz w:val="32"/>
          <w:szCs w:val="32"/>
          <w:highlight w:val="none"/>
          <w:lang w:val="en-US" w:eastAsia="zh-CN"/>
        </w:rPr>
        <w:t>没有此项</w:t>
      </w:r>
      <w:r>
        <w:rPr>
          <w:rFonts w:hint="eastAsia" w:ascii="仿宋_GB2312" w:eastAsia="仿宋_GB2312"/>
          <w:sz w:val="32"/>
          <w:szCs w:val="32"/>
          <w:highlight w:val="none"/>
        </w:rPr>
        <w:t>支出</w:t>
      </w:r>
      <w:r>
        <w:rPr>
          <w:rFonts w:hint="eastAsia" w:ascii="仿宋_GB2312" w:eastAsia="仿宋_GB2312"/>
          <w:color w:val="auto"/>
          <w:sz w:val="32"/>
          <w:szCs w:val="32"/>
          <w:highlight w:val="none"/>
          <w:lang w:val="zh-CN" w:eastAsia="zh-CN"/>
        </w:rPr>
        <w:t>。单位全年安排的国内公务接待0批次，0人次。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lang w:val="zh-CN" w:eastAsia="zh-CN"/>
        </w:rPr>
      </w:pPr>
      <w:r>
        <w:rPr>
          <w:rFonts w:hint="eastAsia" w:ascii="仿宋_GB2312" w:hAnsi="Times New Roman" w:eastAsia="仿宋_GB2312" w:cs="Times New Roman"/>
          <w:b/>
          <w:bCs/>
          <w:sz w:val="32"/>
          <w:szCs w:val="32"/>
          <w:highlight w:val="none"/>
          <w:lang w:val="zh-CN" w:eastAsia="zh-CN"/>
        </w:rPr>
        <w:t>与</w:t>
      </w:r>
      <w:r>
        <w:rPr>
          <w:rFonts w:hint="eastAsia" w:ascii="仿宋_GB2312" w:hAnsi="Times New Roman" w:eastAsia="仿宋_GB2312" w:cs="Times New Roman"/>
          <w:b/>
          <w:bCs/>
          <w:sz w:val="32"/>
          <w:szCs w:val="32"/>
          <w:highlight w:val="none"/>
          <w:lang w:val="en-US" w:eastAsia="zh-CN"/>
        </w:rPr>
        <w:t>全年</w:t>
      </w:r>
      <w:r>
        <w:rPr>
          <w:rFonts w:hint="eastAsia" w:ascii="仿宋_GB2312" w:hAnsi="Times New Roman" w:eastAsia="仿宋_GB2312" w:cs="Times New Roman"/>
          <w:b/>
          <w:bCs/>
          <w:sz w:val="32"/>
          <w:szCs w:val="32"/>
          <w:highlight w:val="none"/>
          <w:lang w:val="zh-CN" w:eastAsia="zh-CN"/>
        </w:rPr>
        <w:t>预算相比</w:t>
      </w:r>
      <w:r>
        <w:rPr>
          <w:rFonts w:hint="eastAsia" w:ascii="仿宋_GB2312" w:hAnsi="Times New Roman" w:eastAsia="仿宋_GB2312" w:cs="Times New Roman"/>
          <w:b/>
          <w:bCs/>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预算数2.00万元，决算数0.92万元，预决算差异率-53.81%，主要原因是：</w:t>
      </w:r>
      <w:r>
        <w:rPr>
          <w:rFonts w:hint="eastAsia" w:ascii="仿宋_GB2312" w:eastAsia="仿宋_GB2312"/>
          <w:sz w:val="32"/>
          <w:szCs w:val="32"/>
          <w:highlight w:val="none"/>
        </w:rPr>
        <w:t>车辆维修及加油费</w:t>
      </w:r>
      <w:r>
        <w:rPr>
          <w:rFonts w:hint="eastAsia" w:ascii="仿宋_GB2312" w:eastAsia="仿宋_GB2312"/>
          <w:sz w:val="32"/>
          <w:szCs w:val="32"/>
          <w:highlight w:val="none"/>
          <w:lang w:eastAsia="zh-CN"/>
        </w:rPr>
        <w:t>减少</w:t>
      </w:r>
      <w:r>
        <w:rPr>
          <w:rFonts w:hint="eastAsia" w:ascii="仿宋_GB2312" w:eastAsia="仿宋_GB2312"/>
          <w:color w:val="auto"/>
          <w:sz w:val="32"/>
          <w:szCs w:val="32"/>
          <w:highlight w:val="none"/>
          <w:lang w:val="zh-CN" w:eastAsia="zh-CN"/>
        </w:rPr>
        <w:t>。其中：因公出国（境）费</w:t>
      </w:r>
      <w:r>
        <w:rPr>
          <w:rFonts w:hint="eastAsia" w:ascii="仿宋_GB2312" w:eastAsia="仿宋_GB2312"/>
          <w:color w:val="auto"/>
          <w:sz w:val="32"/>
          <w:szCs w:val="32"/>
          <w:highlight w:val="none"/>
          <w:lang w:val="en-US" w:eastAsia="zh-CN"/>
        </w:rPr>
        <w:t>全年预算数</w:t>
      </w:r>
      <w:r>
        <w:rPr>
          <w:rFonts w:hint="eastAsia" w:ascii="仿宋_GB2312" w:eastAsia="仿宋_GB2312"/>
          <w:color w:val="auto"/>
          <w:sz w:val="32"/>
          <w:szCs w:val="32"/>
          <w:highlight w:val="none"/>
          <w:lang w:val="zh-CN" w:eastAsia="zh-CN"/>
        </w:rPr>
        <w:t>0.00万元，决算数0.00万元，预决算差异率0.00%，主要原因是：</w:t>
      </w:r>
      <w:r>
        <w:rPr>
          <w:rFonts w:hint="eastAsia" w:ascii="仿宋_GB2312" w:eastAsia="仿宋_GB2312"/>
          <w:sz w:val="32"/>
          <w:szCs w:val="32"/>
          <w:highlight w:val="none"/>
          <w:lang w:val="en-US" w:eastAsia="zh-CN"/>
        </w:rPr>
        <w:t>严格按照预算执行，</w:t>
      </w:r>
      <w:r>
        <w:rPr>
          <w:rFonts w:hint="eastAsia" w:ascii="仿宋_GB2312" w:eastAsia="仿宋_GB2312"/>
          <w:sz w:val="32"/>
          <w:szCs w:val="32"/>
          <w:highlight w:val="none"/>
          <w:lang w:eastAsia="zh-CN"/>
        </w:rPr>
        <w:t>无差异</w:t>
      </w:r>
      <w:r>
        <w:rPr>
          <w:rFonts w:hint="eastAsia" w:ascii="仿宋_GB2312" w:eastAsia="仿宋_GB2312"/>
          <w:color w:val="auto"/>
          <w:sz w:val="32"/>
          <w:szCs w:val="32"/>
          <w:highlight w:val="none"/>
          <w:lang w:val="zh-CN" w:eastAsia="zh-CN"/>
        </w:rPr>
        <w:t>；公务用车购置费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sz w:val="32"/>
          <w:szCs w:val="32"/>
          <w:highlight w:val="none"/>
          <w:lang w:val="en-US" w:eastAsia="zh-CN"/>
        </w:rPr>
        <w:t>严格按照预算执行，</w:t>
      </w:r>
      <w:r>
        <w:rPr>
          <w:rFonts w:hint="eastAsia" w:ascii="仿宋_GB2312" w:eastAsia="仿宋_GB2312"/>
          <w:sz w:val="32"/>
          <w:szCs w:val="32"/>
          <w:highlight w:val="none"/>
          <w:lang w:eastAsia="zh-CN"/>
        </w:rPr>
        <w:t>无差异</w:t>
      </w:r>
      <w:r>
        <w:rPr>
          <w:rFonts w:hint="eastAsia" w:ascii="仿宋_GB2312" w:eastAsia="仿宋_GB2312"/>
          <w:sz w:val="32"/>
          <w:szCs w:val="32"/>
          <w:highlight w:val="none"/>
        </w:rPr>
        <w:t>；</w:t>
      </w:r>
      <w:r>
        <w:rPr>
          <w:rFonts w:hint="eastAsia" w:ascii="仿宋_GB2312" w:eastAsia="仿宋_GB2312"/>
          <w:color w:val="auto"/>
          <w:sz w:val="32"/>
          <w:szCs w:val="32"/>
          <w:highlight w:val="none"/>
          <w:lang w:val="zh-CN" w:eastAsia="zh-CN"/>
        </w:rPr>
        <w:t>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预算数2.00万元，决算数0.92万元，预决算差异率-53.81%，主要原因是：</w:t>
      </w:r>
      <w:r>
        <w:rPr>
          <w:rFonts w:hint="eastAsia" w:ascii="仿宋_GB2312" w:hAnsi="宋体" w:eastAsia="仿宋_GB2312" w:cs="宋体"/>
          <w:kern w:val="0"/>
          <w:sz w:val="32"/>
          <w:szCs w:val="32"/>
          <w:highlight w:val="none"/>
        </w:rPr>
        <w:t>执行中央八项规定，厉行节约，节省经费支出</w:t>
      </w:r>
      <w:r>
        <w:rPr>
          <w:rFonts w:hint="eastAsia" w:ascii="仿宋_GB2312" w:eastAsia="仿宋_GB2312"/>
          <w:color w:val="auto"/>
          <w:sz w:val="32"/>
          <w:szCs w:val="32"/>
          <w:highlight w:val="none"/>
          <w:lang w:val="zh-CN" w:eastAsia="zh-CN"/>
        </w:rPr>
        <w:t>；公务接待费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sz w:val="32"/>
          <w:szCs w:val="32"/>
          <w:highlight w:val="none"/>
          <w:lang w:val="en-US" w:eastAsia="zh-CN"/>
        </w:rPr>
        <w:t>严格按照预算执行，</w:t>
      </w:r>
      <w:r>
        <w:rPr>
          <w:rFonts w:hint="eastAsia" w:ascii="仿宋_GB2312" w:eastAsia="仿宋_GB2312"/>
          <w:sz w:val="32"/>
          <w:szCs w:val="32"/>
          <w:highlight w:val="none"/>
          <w:lang w:eastAsia="zh-CN"/>
        </w:rPr>
        <w:t>无差异</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8" w:name="_Toc7927"/>
      <w:bookmarkStart w:id="19" w:name="_Toc5810"/>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本年度无政府性基金预算财政拨款收入、支出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0" w:name="_Toc7314"/>
      <w:bookmarkStart w:id="21" w:name="_Toc12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rPr>
      </w:pPr>
      <w:bookmarkStart w:id="22" w:name="_Toc13105"/>
      <w:bookmarkStart w:id="23"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pPr>
        <w:ind w:firstLine="640" w:firstLineChars="200"/>
        <w:rPr>
          <w:rFonts w:hint="eastAsia" w:ascii="Times New Roman" w:hAnsi="Times New Roman" w:eastAsia="仿宋_GB2312" w:cs="Times New Roman"/>
          <w:color w:val="auto"/>
          <w:sz w:val="32"/>
          <w:szCs w:val="32"/>
          <w:highlight w:val="none"/>
          <w:lang w:val="en-US" w:eastAsia="zh-CN"/>
        </w:rPr>
      </w:pPr>
      <w:bookmarkStart w:id="24" w:name="_Toc227"/>
      <w:bookmarkStart w:id="25" w:name="_Toc26704"/>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en-US" w:eastAsia="zh-CN"/>
        </w:rPr>
        <w:t>裕民县卫生健康委员会（行政单位和参照公务员法管理事业单位）机关运行经费支出53.15万元，</w:t>
      </w:r>
      <w:r>
        <w:rPr>
          <w:rFonts w:hint="eastAsia" w:ascii="Times New Roman" w:hAnsi="Times New Roman" w:eastAsia="仿宋_GB2312" w:cs="Times New Roman"/>
          <w:color w:val="auto"/>
          <w:sz w:val="32"/>
          <w:szCs w:val="32"/>
          <w:highlight w:val="none"/>
          <w:lang w:val="zh-CN" w:eastAsia="zh-CN"/>
        </w:rPr>
        <w:t>比上年</w:t>
      </w:r>
      <w:r>
        <w:rPr>
          <w:rFonts w:hint="eastAsia" w:eastAsia="仿宋_GB2312" w:cs="Times New Roman"/>
          <w:color w:val="auto"/>
          <w:sz w:val="32"/>
          <w:szCs w:val="32"/>
          <w:highlight w:val="none"/>
          <w:lang w:val="zh-CN" w:eastAsia="zh-CN"/>
        </w:rPr>
        <w:t>减少</w:t>
      </w:r>
      <w:r>
        <w:rPr>
          <w:rFonts w:hint="eastAsia" w:eastAsia="仿宋_GB2312" w:cs="Times New Roman"/>
          <w:color w:val="auto"/>
          <w:sz w:val="32"/>
          <w:szCs w:val="32"/>
          <w:highlight w:val="none"/>
          <w:lang w:val="en-US" w:eastAsia="zh-CN"/>
        </w:rPr>
        <w:t>42.75</w:t>
      </w:r>
      <w:r>
        <w:rPr>
          <w:rFonts w:hint="eastAsia" w:ascii="Times New Roman" w:hAnsi="Times New Roman" w:eastAsia="仿宋_GB2312" w:cs="Times New Roman"/>
          <w:color w:val="auto"/>
          <w:sz w:val="32"/>
          <w:szCs w:val="32"/>
          <w:highlight w:val="none"/>
          <w:lang w:val="zh-CN" w:eastAsia="zh-CN"/>
        </w:rPr>
        <w:t>万元，</w:t>
      </w:r>
      <w:r>
        <w:rPr>
          <w:rFonts w:hint="eastAsia" w:eastAsia="仿宋_GB2312" w:cs="Times New Roman"/>
          <w:color w:val="auto"/>
          <w:sz w:val="32"/>
          <w:szCs w:val="32"/>
          <w:highlight w:val="none"/>
          <w:lang w:val="zh-CN" w:eastAsia="zh-CN"/>
        </w:rPr>
        <w:t>下降</w:t>
      </w:r>
      <w:r>
        <w:rPr>
          <w:rFonts w:hint="eastAsia" w:ascii="仿宋_GB2312" w:hAnsi="仿宋_GB2312" w:eastAsia="仿宋_GB2312" w:cs="仿宋_GB2312"/>
          <w:color w:val="auto"/>
          <w:sz w:val="32"/>
          <w:szCs w:val="32"/>
          <w:highlight w:val="none"/>
          <w:lang w:val="zh-CN" w:eastAsia="zh-CN"/>
        </w:rPr>
        <w:t>44.58</w:t>
      </w:r>
      <w:r>
        <w:rPr>
          <w:rFonts w:hint="eastAsia" w:ascii="Times New Roman" w:hAnsi="Times New Roman" w:eastAsia="仿宋_GB2312" w:cs="Times New Roman"/>
          <w:color w:val="auto"/>
          <w:sz w:val="32"/>
          <w:szCs w:val="32"/>
          <w:highlight w:val="none"/>
          <w:lang w:val="zh-CN" w:eastAsia="zh-CN"/>
        </w:rPr>
        <w:t>%，主要原因是：</w:t>
      </w:r>
      <w:r>
        <w:rPr>
          <w:rFonts w:hint="eastAsia" w:eastAsia="仿宋_GB2312" w:cs="Times New Roman"/>
          <w:color w:val="auto"/>
          <w:sz w:val="32"/>
          <w:szCs w:val="32"/>
          <w:highlight w:val="none"/>
          <w:lang w:val="en-US" w:eastAsia="zh-CN"/>
        </w:rPr>
        <w:t>2023年新增退休人员1名</w:t>
      </w:r>
      <w:r>
        <w:rPr>
          <w:rFonts w:hint="eastAsia" w:ascii="仿宋_GB2312" w:eastAsia="仿宋_GB2312"/>
          <w:sz w:val="32"/>
          <w:szCs w:val="32"/>
          <w:highlight w:val="none"/>
        </w:rPr>
        <w:t>办公费及工会经费支出</w:t>
      </w:r>
      <w:r>
        <w:rPr>
          <w:rFonts w:hint="eastAsia" w:ascii="仿宋_GB2312" w:eastAsia="仿宋_GB2312"/>
          <w:sz w:val="32"/>
          <w:szCs w:val="32"/>
          <w:highlight w:val="none"/>
          <w:lang w:eastAsia="zh-CN"/>
        </w:rPr>
        <w:t>减少</w:t>
      </w:r>
      <w:r>
        <w:rPr>
          <w:rFonts w:hint="eastAsia" w:ascii="Times New Roman" w:hAnsi="Times New Roman" w:eastAsia="仿宋_GB2312" w:cs="Times New Roman"/>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rPr>
      </w:pPr>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zh-CN"/>
        </w:rPr>
        <w:t>政府采购支出总额</w:t>
      </w:r>
      <w:r>
        <w:rPr>
          <w:rFonts w:hint="eastAsia" w:ascii="Times New Roman" w:hAnsi="Times New Roman" w:eastAsia="仿宋_GB2312" w:cs="Times New Roman"/>
          <w:color w:val="auto"/>
          <w:sz w:val="32"/>
          <w:szCs w:val="32"/>
          <w:highlight w:val="none"/>
          <w:lang w:val="zh-CN" w:eastAsia="zh-CN"/>
        </w:rPr>
        <w:t>8.05万元</w:t>
      </w:r>
      <w:r>
        <w:rPr>
          <w:rFonts w:hint="eastAsia" w:ascii="Times New Roman" w:hAnsi="Times New Roman" w:eastAsia="仿宋_GB2312" w:cs="Times New Roman"/>
          <w:color w:val="auto"/>
          <w:sz w:val="32"/>
          <w:szCs w:val="32"/>
          <w:highlight w:val="none"/>
          <w:lang w:val="zh-CN"/>
        </w:rPr>
        <w:t>，</w:t>
      </w:r>
      <w:r>
        <w:rPr>
          <w:rFonts w:hint="eastAsia" w:ascii="Times New Roman" w:hAnsi="Times New Roman" w:eastAsia="仿宋_GB2312" w:cs="Times New Roman"/>
          <w:color w:val="auto"/>
          <w:sz w:val="32"/>
          <w:szCs w:val="32"/>
          <w:highlight w:val="none"/>
          <w:lang w:val="zh-CN" w:eastAsia="zh-CN"/>
        </w:rPr>
        <w:t>其中：政府采购货物支出6.16万元、政府采购工程支出0.00万元、政府采购服务支出1.90万元。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zh-CN" w:eastAsia="zh-CN"/>
        </w:rPr>
        <w:t>授予中小企业合同金额8.05万元，占政府采购支出总额的100.00</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zh-CN" w:eastAsia="zh-CN"/>
        </w:rPr>
        <w:t>，其中：授予小微企业合同金额8.05万元，占政府采购支出总额的100.00</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Times New Roman" w:hAnsi="Times New Roman" w:eastAsia="黑体" w:cs="Times New Roman"/>
          <w:color w:val="auto"/>
          <w:sz w:val="32"/>
          <w:szCs w:val="30"/>
          <w:highlight w:val="none"/>
          <w:lang w:val="zh-CN" w:eastAsia="zh-CN"/>
        </w:rPr>
      </w:pPr>
      <w:bookmarkStart w:id="26" w:name="_Toc4591"/>
      <w:bookmarkStart w:id="27" w:name="_Toc83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eastAsia="zh-CN"/>
        </w:rPr>
      </w:pPr>
      <w:r>
        <w:rPr>
          <w:rFonts w:hint="eastAsia" w:ascii="Times New Roman" w:hAnsi="Times New Roman" w:eastAsia="仿宋_GB2312" w:cs="Times New Roman"/>
          <w:color w:val="auto"/>
          <w:sz w:val="32"/>
          <w:szCs w:val="32"/>
          <w:highlight w:val="none"/>
          <w:lang w:val="en-US" w:eastAsia="zh-CN"/>
        </w:rPr>
        <w:t>截至2023</w:t>
      </w:r>
      <w:r>
        <w:rPr>
          <w:rFonts w:hint="eastAsia" w:ascii="Times New Roman" w:hAnsi="Times New Roman" w:eastAsia="仿宋_GB2312" w:cs="Times New Roman"/>
          <w:color w:val="auto"/>
          <w:sz w:val="32"/>
          <w:szCs w:val="32"/>
          <w:highlight w:val="none"/>
          <w:lang w:val="zh-CN" w:eastAsia="zh-CN"/>
        </w:rPr>
        <w:t>年</w:t>
      </w:r>
      <w:r>
        <w:rPr>
          <w:rFonts w:hint="eastAsia" w:ascii="Times New Roman" w:hAnsi="Times New Roman" w:eastAsia="仿宋_GB2312" w:cs="Times New Roman"/>
          <w:color w:val="auto"/>
          <w:sz w:val="32"/>
          <w:szCs w:val="32"/>
          <w:highlight w:val="none"/>
          <w:lang w:val="en-US" w:eastAsia="zh-CN"/>
        </w:rPr>
        <w:t>12月31日</w:t>
      </w:r>
      <w:r>
        <w:rPr>
          <w:rFonts w:hint="eastAsia"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固定资产原值</w:t>
      </w:r>
      <w:r>
        <w:rPr>
          <w:rFonts w:hint="eastAsia" w:ascii="Times New Roman" w:hAnsi="Times New Roman" w:eastAsia="仿宋_GB2312" w:cs="Times New Roman"/>
          <w:color w:val="auto"/>
          <w:sz w:val="32"/>
          <w:szCs w:val="32"/>
          <w:highlight w:val="none"/>
          <w:lang w:val="zh-CN" w:eastAsia="zh-CN"/>
        </w:rPr>
        <w:t>1,373.64</w:t>
      </w:r>
      <w:r>
        <w:rPr>
          <w:rFonts w:hint="eastAsia" w:ascii="Times New Roman" w:hAnsi="Times New Roman" w:eastAsia="仿宋_GB2312" w:cs="Times New Roman"/>
          <w:color w:val="auto"/>
          <w:sz w:val="32"/>
          <w:szCs w:val="32"/>
          <w:highlight w:val="none"/>
          <w:lang w:val="en-US" w:eastAsia="zh-CN"/>
        </w:rPr>
        <w:t>万元，房</w:t>
      </w:r>
      <w:r>
        <w:rPr>
          <w:rFonts w:hint="eastAsia" w:ascii="Times New Roman" w:hAnsi="Times New Roman" w:eastAsia="仿宋_GB2312" w:cs="Times New Roman"/>
          <w:color w:val="auto"/>
          <w:sz w:val="32"/>
          <w:szCs w:val="32"/>
          <w:highlight w:val="none"/>
          <w:lang w:val="zh-CN" w:eastAsia="zh-CN"/>
        </w:rPr>
        <w:t>屋3,376.51平方米，价值481.81万元。车辆3辆，价值74.27万元，其中：副部（省）级及以上领导用车0辆、主要</w:t>
      </w:r>
      <w:r>
        <w:rPr>
          <w:rFonts w:hint="eastAsia" w:ascii="Times New Roman" w:hAnsi="Times New Roman" w:eastAsia="仿宋_GB2312" w:cs="Times New Roman"/>
          <w:color w:val="auto"/>
          <w:sz w:val="32"/>
          <w:szCs w:val="32"/>
          <w:highlight w:val="none"/>
          <w:lang w:val="en-US" w:eastAsia="zh-CN"/>
        </w:rPr>
        <w:t>负责人</w:t>
      </w:r>
      <w:r>
        <w:rPr>
          <w:rFonts w:hint="eastAsia" w:ascii="Times New Roman" w:hAnsi="Times New Roman" w:eastAsia="仿宋_GB2312" w:cs="Times New Roman"/>
          <w:color w:val="auto"/>
          <w:sz w:val="32"/>
          <w:szCs w:val="32"/>
          <w:highlight w:val="none"/>
          <w:lang w:val="zh-CN" w:eastAsia="zh-CN"/>
        </w:rPr>
        <w:t>用车0辆、机要通信用车0辆、应急保障用车0辆、执法执勤用车0辆、特种专业技术用车1辆、离退休干部</w:t>
      </w:r>
      <w:r>
        <w:rPr>
          <w:rFonts w:hint="eastAsia" w:ascii="Times New Roman" w:hAnsi="Times New Roman" w:eastAsia="仿宋_GB2312" w:cs="Times New Roman"/>
          <w:color w:val="auto"/>
          <w:sz w:val="32"/>
          <w:szCs w:val="32"/>
          <w:highlight w:val="none"/>
          <w:lang w:val="en-US" w:eastAsia="zh-CN"/>
        </w:rPr>
        <w:t>服务</w:t>
      </w:r>
      <w:r>
        <w:rPr>
          <w:rFonts w:hint="eastAsia" w:ascii="Times New Roman" w:hAnsi="Times New Roman" w:eastAsia="仿宋_GB2312" w:cs="Times New Roman"/>
          <w:color w:val="auto"/>
          <w:sz w:val="32"/>
          <w:szCs w:val="32"/>
          <w:highlight w:val="none"/>
          <w:lang w:val="zh-CN" w:eastAsia="zh-CN"/>
        </w:rPr>
        <w:t>用车0辆、其他用车2辆，其他用车主要是：</w:t>
      </w:r>
      <w:r>
        <w:rPr>
          <w:rFonts w:hint="eastAsia" w:ascii="仿宋_GB2312" w:eastAsia="仿宋_GB2312"/>
          <w:sz w:val="32"/>
          <w:szCs w:val="32"/>
          <w:highlight w:val="none"/>
          <w:lang w:eastAsia="zh-CN"/>
        </w:rPr>
        <w:t>疫情防控指挥车和一般单位公务用车</w:t>
      </w:r>
      <w:r>
        <w:rPr>
          <w:rFonts w:hint="eastAsia" w:ascii="Times New Roman" w:hAnsi="Times New Roman" w:eastAsia="仿宋_GB2312" w:cs="Times New Roman"/>
          <w:color w:val="auto"/>
          <w:sz w:val="32"/>
          <w:szCs w:val="32"/>
          <w:highlight w:val="none"/>
          <w:lang w:val="zh-CN" w:eastAsia="zh-CN"/>
        </w:rPr>
        <w:t>；单价100万元（含）以上设备（不含车辆）0</w:t>
      </w:r>
      <w:r>
        <w:rPr>
          <w:rFonts w:hint="eastAsia" w:ascii="Times New Roman" w:hAnsi="Times New Roman" w:eastAsia="仿宋_GB2312" w:cs="Times New Roman"/>
          <w:color w:val="auto"/>
          <w:sz w:val="32"/>
          <w:szCs w:val="32"/>
          <w:highlight w:val="none"/>
          <w:lang w:val="en-US" w:eastAsia="zh-CN"/>
        </w:rPr>
        <w:t>台（</w:t>
      </w:r>
      <w:r>
        <w:rPr>
          <w:rFonts w:hint="eastAsia" w:ascii="Times New Roman" w:hAnsi="Times New Roman" w:eastAsia="仿宋_GB2312" w:cs="Times New Roman"/>
          <w:color w:val="auto"/>
          <w:sz w:val="32"/>
          <w:szCs w:val="32"/>
          <w:highlight w:val="none"/>
          <w:lang w:val="zh-CN" w:eastAsia="zh-CN"/>
        </w:rPr>
        <w:t>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8" w:name="_Toc11283"/>
      <w:bookmarkStart w:id="29" w:name="_Toc4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2023年度</w:t>
      </w:r>
      <w:r>
        <w:rPr>
          <w:rFonts w:hint="eastAsia" w:ascii="仿宋_GB2312" w:hAnsi="仿宋_GB2312" w:eastAsia="仿宋_GB2312" w:cs="仿宋_GB2312"/>
          <w:color w:val="auto"/>
          <w:kern w:val="0"/>
          <w:sz w:val="32"/>
          <w:szCs w:val="32"/>
          <w:highlight w:val="none"/>
        </w:rPr>
        <w:t>预算绩效管理整体</w:t>
      </w:r>
      <w:r>
        <w:rPr>
          <w:rFonts w:hint="eastAsia" w:ascii="仿宋_GB2312" w:hAnsi="仿宋_GB2312" w:eastAsia="仿宋_GB2312" w:cs="仿宋_GB2312"/>
          <w:color w:val="auto"/>
          <w:kern w:val="0"/>
          <w:sz w:val="32"/>
          <w:szCs w:val="32"/>
          <w:highlight w:val="none"/>
          <w:lang w:val="en-US" w:eastAsia="zh-CN"/>
        </w:rPr>
        <w:t>支出</w:t>
      </w:r>
      <w:r>
        <w:rPr>
          <w:rFonts w:hint="eastAsia" w:ascii="仿宋_GB2312" w:hAnsi="仿宋_GB2312" w:eastAsia="仿宋_GB2312" w:cs="仿宋_GB2312"/>
          <w:color w:val="auto"/>
          <w:kern w:val="0"/>
          <w:sz w:val="32"/>
          <w:szCs w:val="32"/>
          <w:highlight w:val="none"/>
        </w:rPr>
        <w:t>绩效自评表</w:t>
      </w:r>
      <w:r>
        <w:rPr>
          <w:rFonts w:hint="eastAsia" w:ascii="仿宋_GB2312" w:eastAsia="仿宋_GB2312"/>
          <w:color w:val="auto"/>
          <w:sz w:val="32"/>
          <w:szCs w:val="32"/>
          <w:highlight w:val="none"/>
          <w:lang w:val="en-US" w:eastAsia="zh-CN"/>
        </w:rPr>
        <w:t>1</w:t>
      </w:r>
      <w:r>
        <w:rPr>
          <w:rFonts w:hint="eastAsia" w:ascii="仿宋_GB2312" w:hAnsi="仿宋_GB2312" w:eastAsia="仿宋_GB2312" w:cs="仿宋_GB2312"/>
          <w:color w:val="auto"/>
          <w:kern w:val="0"/>
          <w:sz w:val="32"/>
          <w:szCs w:val="32"/>
          <w:highlight w:val="none"/>
          <w:lang w:val="en-US" w:eastAsia="zh-CN"/>
        </w:rPr>
        <w:t>个，全年</w:t>
      </w:r>
      <w:r>
        <w:rPr>
          <w:rFonts w:hint="eastAsia" w:ascii="仿宋_GB2312" w:eastAsia="仿宋_GB2312"/>
          <w:color w:val="auto"/>
          <w:sz w:val="32"/>
          <w:szCs w:val="32"/>
          <w:highlight w:val="none"/>
          <w:lang w:val="en-US" w:eastAsia="zh-CN"/>
        </w:rPr>
        <w:t>预算总额3768.41</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实际执行总额3677.52</w:t>
      </w:r>
      <w:r>
        <w:rPr>
          <w:rFonts w:hint="eastAsia" w:ascii="仿宋_GB2312" w:eastAsia="仿宋_GB2312"/>
          <w:color w:val="auto"/>
          <w:sz w:val="32"/>
          <w:szCs w:val="32"/>
          <w:highlight w:val="none"/>
        </w:rPr>
        <w:t>万元</w:t>
      </w:r>
      <w:r>
        <w:rPr>
          <w:rFonts w:hint="eastAsia" w:ascii="仿宋_GB2312" w:hAnsi="仿宋_GB2312" w:eastAsia="仿宋_GB2312" w:cs="仿宋_GB2312"/>
          <w:color w:val="auto"/>
          <w:kern w:val="0"/>
          <w:sz w:val="32"/>
          <w:szCs w:val="32"/>
          <w:highlight w:val="none"/>
          <w:lang w:val="en-US" w:eastAsia="zh-CN"/>
        </w:rPr>
        <w:t>；</w:t>
      </w:r>
      <w:r>
        <w:rPr>
          <w:rFonts w:hint="eastAsia" w:ascii="仿宋_GB2312" w:eastAsia="仿宋_GB2312"/>
          <w:color w:val="auto"/>
          <w:sz w:val="32"/>
          <w:szCs w:val="32"/>
          <w:highlight w:val="none"/>
          <w:lang w:eastAsia="zh-CN"/>
        </w:rPr>
        <w:t>预算绩效评价项目</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lang w:eastAsia="zh-CN"/>
        </w:rPr>
        <w:t>个，</w:t>
      </w:r>
      <w:r>
        <w:rPr>
          <w:rFonts w:hint="eastAsia" w:ascii="仿宋_GB2312" w:eastAsia="仿宋_GB2312"/>
          <w:color w:val="auto"/>
          <w:sz w:val="32"/>
          <w:szCs w:val="32"/>
          <w:highlight w:val="none"/>
          <w:lang w:val="en-US" w:eastAsia="zh-CN"/>
        </w:rPr>
        <w:t>全年预算数</w:t>
      </w:r>
      <w:r>
        <w:rPr>
          <w:rFonts w:hint="eastAsia" w:eastAsia="仿宋_GB2312" w:cs="仿宋_GB2312"/>
          <w:color w:val="auto"/>
          <w:sz w:val="32"/>
          <w:szCs w:val="32"/>
          <w:highlight w:val="none"/>
          <w:lang w:val="en-US" w:eastAsia="zh-CN"/>
        </w:rPr>
        <w:t>3156.61</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全年执行数</w:t>
      </w:r>
      <w:r>
        <w:rPr>
          <w:rFonts w:hint="eastAsia" w:eastAsia="仿宋_GB2312" w:cs="仿宋_GB2312"/>
          <w:color w:val="auto"/>
          <w:sz w:val="32"/>
          <w:szCs w:val="32"/>
          <w:highlight w:val="none"/>
          <w:lang w:val="en-US" w:eastAsia="zh-CN"/>
        </w:rPr>
        <w:t>3156.61</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sz w:val="32"/>
          <w:szCs w:val="32"/>
          <w:highlight w:val="none"/>
          <w:lang w:eastAsia="zh-CN"/>
        </w:rPr>
        <w:t>预算绩效管理取得的成效：一是提供良好的履职基础和就医环境，提高服务社会发展能力；二是完善和健全的医疗体系在加强经济建设，维护社会稳定，保障公共安全，促进社会进步的作用是不可估量的。发现的问题及原因：一是从这次的绩效自评结果看，本单位项目实施情况整体良好，各科室工作积极主动，使资金发挥了其应有的经济及社会有效，当然也存在一些问题：一是村卫生室医务人员少，各项公共卫生工作开展不到位；二是卫生院没有对村医及时的培训。三是档案信息登记不齐全，随访不到位。四是项目资金发放不及时。下一步改进措施：一是根据审计工作要求，合理支出各项资金，促进审计工作顺利实施，确保2022年高质量完成绩效目标；二是使用资金严格按照有关财务管理办法合理、合规的支出，由财政、人事等部门监督预算执行。具体项目自评情况附项目支出绩效自评表。</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本单位无其他需说明事项。</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30" w:name="_Toc3250"/>
      <w:bookmarkStart w:id="31" w:name="_Toc24143"/>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w:t>
      </w:r>
      <w:r>
        <w:rPr>
          <w:rFonts w:hint="eastAsia" w:ascii="仿宋_GB2312" w:eastAsia="仿宋_GB2312"/>
          <w:color w:val="auto"/>
          <w:sz w:val="32"/>
          <w:szCs w:val="32"/>
          <w:highlight w:val="none"/>
          <w:lang w:eastAsia="zh-CN"/>
        </w:rPr>
        <w:t>单位</w:t>
      </w:r>
      <w:r>
        <w:rPr>
          <w:rFonts w:hint="eastAsia" w:ascii="仿宋_GB2312" w:eastAsia="仿宋_GB2312"/>
          <w:color w:val="auto"/>
          <w:sz w:val="32"/>
          <w:szCs w:val="32"/>
          <w:highlight w:val="none"/>
        </w:rPr>
        <w:t>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 xml:space="preserve">第四部分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决算报表（见附表）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6062"/>
      <w:bookmarkStart w:id="33" w:name="_Toc2183"/>
      <w:r>
        <w:rPr>
          <w:rFonts w:hint="eastAsia" w:ascii="黑体" w:hAnsi="黑体" w:eastAsia="仿宋_GB2312" w:cs="宋体"/>
          <w:bCs/>
          <w:color w:val="auto"/>
          <w:kern w:val="0"/>
          <w:sz w:val="32"/>
          <w:szCs w:val="32"/>
          <w:highlight w:val="none"/>
        </w:rPr>
        <w:t>一、《收入支出决算总表》</w:t>
      </w:r>
      <w:bookmarkEnd w:id="32"/>
      <w:bookmarkEnd w:id="3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24532"/>
      <w:bookmarkStart w:id="35" w:name="_Toc30364"/>
      <w:r>
        <w:rPr>
          <w:rFonts w:hint="eastAsia" w:ascii="黑体" w:hAnsi="黑体" w:eastAsia="仿宋_GB2312" w:cs="宋体"/>
          <w:bCs/>
          <w:color w:val="auto"/>
          <w:kern w:val="0"/>
          <w:sz w:val="32"/>
          <w:szCs w:val="32"/>
          <w:highlight w:val="none"/>
        </w:rPr>
        <w:t>二、《收入决算表》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32434"/>
      <w:bookmarkStart w:id="37" w:name="_Toc21304"/>
      <w:r>
        <w:rPr>
          <w:rFonts w:hint="eastAsia" w:ascii="黑体" w:hAnsi="黑体" w:eastAsia="仿宋_GB2312" w:cs="宋体"/>
          <w:bCs/>
          <w:color w:val="auto"/>
          <w:kern w:val="0"/>
          <w:sz w:val="32"/>
          <w:szCs w:val="32"/>
          <w:highlight w:val="none"/>
        </w:rPr>
        <w:t>三、《支出决算表》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14238"/>
      <w:bookmarkStart w:id="39" w:name="_Toc28786"/>
      <w:r>
        <w:rPr>
          <w:rFonts w:hint="eastAsia" w:ascii="黑体" w:hAnsi="黑体" w:eastAsia="仿宋_GB2312" w:cs="宋体"/>
          <w:bCs/>
          <w:color w:val="auto"/>
          <w:kern w:val="0"/>
          <w:sz w:val="32"/>
          <w:szCs w:val="32"/>
          <w:highlight w:val="none"/>
        </w:rPr>
        <w:t>四、《财政拨款收入支出决算总表》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0347"/>
      <w:bookmarkStart w:id="41" w:name="_Toc14869"/>
      <w:r>
        <w:rPr>
          <w:rFonts w:hint="eastAsia" w:ascii="黑体" w:hAnsi="黑体" w:eastAsia="仿宋_GB2312" w:cs="宋体"/>
          <w:bCs/>
          <w:color w:val="auto"/>
          <w:kern w:val="0"/>
          <w:sz w:val="32"/>
          <w:szCs w:val="32"/>
          <w:highlight w:val="none"/>
        </w:rPr>
        <w:t>五、《一般公共预算财政拨款支出决算表》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5626"/>
      <w:bookmarkStart w:id="43" w:name="_Toc8884"/>
      <w:r>
        <w:rPr>
          <w:rFonts w:hint="eastAsia" w:ascii="黑体" w:hAnsi="黑体" w:eastAsia="仿宋_GB2312" w:cs="宋体"/>
          <w:bCs/>
          <w:color w:val="auto"/>
          <w:kern w:val="0"/>
          <w:sz w:val="32"/>
          <w:szCs w:val="32"/>
          <w:highlight w:val="none"/>
        </w:rPr>
        <w:t>六、《一般公共预算财政拨款基本支出决算表》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32663"/>
      <w:bookmarkStart w:id="45" w:name="_Toc29106"/>
      <w:r>
        <w:rPr>
          <w:rFonts w:hint="eastAsia" w:ascii="黑体" w:hAnsi="黑体" w:eastAsia="仿宋_GB2312" w:cs="宋体"/>
          <w:bCs/>
          <w:color w:val="auto"/>
          <w:kern w:val="0"/>
          <w:sz w:val="32"/>
          <w:szCs w:val="32"/>
          <w:highlight w:val="none"/>
        </w:rPr>
        <w:t>《财政拨款“三公”经费支出决算表》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5453"/>
      <w:bookmarkStart w:id="47" w:name="_Toc764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FjMGU3MjlhNjJmYjFkNGU1MGI1MWVmMTE0YWQzZDYifQ=="/>
    <w:docVar w:name="KSO_WPS_MARK_KEY" w:val="41ee2a61-2d54-4f93-83be-afdb9a40d732"/>
  </w:docVars>
  <w:rsids>
    <w:rsidRoot w:val="00000000"/>
    <w:rsid w:val="00213C59"/>
    <w:rsid w:val="003210CE"/>
    <w:rsid w:val="00B70D59"/>
    <w:rsid w:val="00F52A8D"/>
    <w:rsid w:val="018F5A05"/>
    <w:rsid w:val="019404F8"/>
    <w:rsid w:val="02BD3108"/>
    <w:rsid w:val="02F73D26"/>
    <w:rsid w:val="034D4FEF"/>
    <w:rsid w:val="035D1785"/>
    <w:rsid w:val="039F47CE"/>
    <w:rsid w:val="03E05CE8"/>
    <w:rsid w:val="03F973EE"/>
    <w:rsid w:val="043E5B56"/>
    <w:rsid w:val="049D378A"/>
    <w:rsid w:val="04C04386"/>
    <w:rsid w:val="04D96608"/>
    <w:rsid w:val="04FA68C4"/>
    <w:rsid w:val="053F5AE6"/>
    <w:rsid w:val="057C0B0F"/>
    <w:rsid w:val="05EF4B48"/>
    <w:rsid w:val="05F76ECA"/>
    <w:rsid w:val="06792773"/>
    <w:rsid w:val="07093795"/>
    <w:rsid w:val="07804730"/>
    <w:rsid w:val="079052BE"/>
    <w:rsid w:val="08145C21"/>
    <w:rsid w:val="08297282"/>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073954"/>
    <w:rsid w:val="0D4903E8"/>
    <w:rsid w:val="0D7A4A46"/>
    <w:rsid w:val="0E640559"/>
    <w:rsid w:val="0F1113DA"/>
    <w:rsid w:val="0F78534A"/>
    <w:rsid w:val="0F89358A"/>
    <w:rsid w:val="0F8C6D51"/>
    <w:rsid w:val="105B0B5E"/>
    <w:rsid w:val="112E58D0"/>
    <w:rsid w:val="11731CAC"/>
    <w:rsid w:val="119500A0"/>
    <w:rsid w:val="11C0733B"/>
    <w:rsid w:val="11D50D17"/>
    <w:rsid w:val="120E0809"/>
    <w:rsid w:val="1237187D"/>
    <w:rsid w:val="127F665A"/>
    <w:rsid w:val="12C86066"/>
    <w:rsid w:val="12F7068C"/>
    <w:rsid w:val="14207DC0"/>
    <w:rsid w:val="14B932DA"/>
    <w:rsid w:val="150A66AF"/>
    <w:rsid w:val="154C1139"/>
    <w:rsid w:val="158C5B77"/>
    <w:rsid w:val="160D1149"/>
    <w:rsid w:val="163563C0"/>
    <w:rsid w:val="164315EF"/>
    <w:rsid w:val="16557DFE"/>
    <w:rsid w:val="167268FB"/>
    <w:rsid w:val="16770D0A"/>
    <w:rsid w:val="16D50C50"/>
    <w:rsid w:val="16DE62F6"/>
    <w:rsid w:val="16E120E1"/>
    <w:rsid w:val="17385A05"/>
    <w:rsid w:val="173B3901"/>
    <w:rsid w:val="176747F9"/>
    <w:rsid w:val="17954A6E"/>
    <w:rsid w:val="180059E9"/>
    <w:rsid w:val="184510FD"/>
    <w:rsid w:val="190648B0"/>
    <w:rsid w:val="19071D6C"/>
    <w:rsid w:val="192B5CAE"/>
    <w:rsid w:val="19D26CD4"/>
    <w:rsid w:val="19E60D19"/>
    <w:rsid w:val="1A353450"/>
    <w:rsid w:val="1A3E3450"/>
    <w:rsid w:val="1AD807E5"/>
    <w:rsid w:val="1B39345B"/>
    <w:rsid w:val="1BFB2A1F"/>
    <w:rsid w:val="1C015D4A"/>
    <w:rsid w:val="1C290ED5"/>
    <w:rsid w:val="1C317E4F"/>
    <w:rsid w:val="1C472464"/>
    <w:rsid w:val="1D22799A"/>
    <w:rsid w:val="1D3D624E"/>
    <w:rsid w:val="1D5C1A72"/>
    <w:rsid w:val="1DAF458D"/>
    <w:rsid w:val="1E086ACE"/>
    <w:rsid w:val="1E62130A"/>
    <w:rsid w:val="1E97358B"/>
    <w:rsid w:val="1EAA4A5F"/>
    <w:rsid w:val="1EE869A7"/>
    <w:rsid w:val="1FA15E62"/>
    <w:rsid w:val="1FED69B6"/>
    <w:rsid w:val="2064678E"/>
    <w:rsid w:val="20DC1AB9"/>
    <w:rsid w:val="20DD6197"/>
    <w:rsid w:val="212631E0"/>
    <w:rsid w:val="21A53757"/>
    <w:rsid w:val="221236C6"/>
    <w:rsid w:val="22D7662C"/>
    <w:rsid w:val="231850A7"/>
    <w:rsid w:val="23326B7F"/>
    <w:rsid w:val="2380045B"/>
    <w:rsid w:val="23BC04D2"/>
    <w:rsid w:val="23EF1892"/>
    <w:rsid w:val="2483647E"/>
    <w:rsid w:val="24A32D55"/>
    <w:rsid w:val="25292727"/>
    <w:rsid w:val="252E5CA9"/>
    <w:rsid w:val="256F7692"/>
    <w:rsid w:val="25BA2154"/>
    <w:rsid w:val="25C8773F"/>
    <w:rsid w:val="2646168D"/>
    <w:rsid w:val="264A7253"/>
    <w:rsid w:val="26F0170C"/>
    <w:rsid w:val="27201D62"/>
    <w:rsid w:val="27286E73"/>
    <w:rsid w:val="27CF2642"/>
    <w:rsid w:val="27E777F5"/>
    <w:rsid w:val="27EA1D4C"/>
    <w:rsid w:val="27EA2E41"/>
    <w:rsid w:val="282459E2"/>
    <w:rsid w:val="283A7FE5"/>
    <w:rsid w:val="285F51FF"/>
    <w:rsid w:val="28DF2665"/>
    <w:rsid w:val="29072599"/>
    <w:rsid w:val="291029F3"/>
    <w:rsid w:val="29CB58F0"/>
    <w:rsid w:val="29CF1253"/>
    <w:rsid w:val="2A053397"/>
    <w:rsid w:val="2A145E96"/>
    <w:rsid w:val="2A2131BB"/>
    <w:rsid w:val="2A5D63DB"/>
    <w:rsid w:val="2A9610ED"/>
    <w:rsid w:val="2AF5378F"/>
    <w:rsid w:val="2BB94DBF"/>
    <w:rsid w:val="2C6F314E"/>
    <w:rsid w:val="2CC206BE"/>
    <w:rsid w:val="2D1136DF"/>
    <w:rsid w:val="2D20606D"/>
    <w:rsid w:val="2DB87198"/>
    <w:rsid w:val="2DB93C54"/>
    <w:rsid w:val="2E3D144C"/>
    <w:rsid w:val="2E891204"/>
    <w:rsid w:val="2F3F0A28"/>
    <w:rsid w:val="2FBF7029"/>
    <w:rsid w:val="2FD0187F"/>
    <w:rsid w:val="2FD27414"/>
    <w:rsid w:val="2FFE4BB0"/>
    <w:rsid w:val="300E7B60"/>
    <w:rsid w:val="300F6E18"/>
    <w:rsid w:val="30835749"/>
    <w:rsid w:val="30862F5F"/>
    <w:rsid w:val="314029C9"/>
    <w:rsid w:val="31C63837"/>
    <w:rsid w:val="31C82E39"/>
    <w:rsid w:val="32601BAD"/>
    <w:rsid w:val="329F6389"/>
    <w:rsid w:val="3389023A"/>
    <w:rsid w:val="33CB74FA"/>
    <w:rsid w:val="34172D1B"/>
    <w:rsid w:val="343642F2"/>
    <w:rsid w:val="343F3010"/>
    <w:rsid w:val="345D0A00"/>
    <w:rsid w:val="34713BFD"/>
    <w:rsid w:val="34BE2CBC"/>
    <w:rsid w:val="34C13589"/>
    <w:rsid w:val="353369E3"/>
    <w:rsid w:val="35E00D72"/>
    <w:rsid w:val="36965B9D"/>
    <w:rsid w:val="36B57186"/>
    <w:rsid w:val="36C549FD"/>
    <w:rsid w:val="37A755DD"/>
    <w:rsid w:val="37F94FA0"/>
    <w:rsid w:val="380D3381"/>
    <w:rsid w:val="38115B1F"/>
    <w:rsid w:val="384A5350"/>
    <w:rsid w:val="385E3AC3"/>
    <w:rsid w:val="387D6B9E"/>
    <w:rsid w:val="38B75FF0"/>
    <w:rsid w:val="38D45016"/>
    <w:rsid w:val="38D90432"/>
    <w:rsid w:val="3914510A"/>
    <w:rsid w:val="3926770B"/>
    <w:rsid w:val="398D3668"/>
    <w:rsid w:val="39DA0497"/>
    <w:rsid w:val="3A893816"/>
    <w:rsid w:val="3A893B6D"/>
    <w:rsid w:val="3AD1763A"/>
    <w:rsid w:val="3B6716E3"/>
    <w:rsid w:val="3B6C6B2D"/>
    <w:rsid w:val="3C215304"/>
    <w:rsid w:val="3C242659"/>
    <w:rsid w:val="3C96719C"/>
    <w:rsid w:val="3CA72BE8"/>
    <w:rsid w:val="3CF37F8C"/>
    <w:rsid w:val="3D137554"/>
    <w:rsid w:val="3D44157F"/>
    <w:rsid w:val="3D5275AC"/>
    <w:rsid w:val="3DCC2473"/>
    <w:rsid w:val="3DEB0883"/>
    <w:rsid w:val="3E2527BF"/>
    <w:rsid w:val="3E5B3634"/>
    <w:rsid w:val="3E731662"/>
    <w:rsid w:val="3E8168DD"/>
    <w:rsid w:val="3EA7725F"/>
    <w:rsid w:val="3EB03713"/>
    <w:rsid w:val="3EBF1A11"/>
    <w:rsid w:val="3EC52607"/>
    <w:rsid w:val="3EEC6CEF"/>
    <w:rsid w:val="3F183429"/>
    <w:rsid w:val="3FB77A1D"/>
    <w:rsid w:val="3FDC3674"/>
    <w:rsid w:val="3FED7F8A"/>
    <w:rsid w:val="40094AEF"/>
    <w:rsid w:val="403E599B"/>
    <w:rsid w:val="405470BD"/>
    <w:rsid w:val="40794A29"/>
    <w:rsid w:val="40834692"/>
    <w:rsid w:val="41431AD5"/>
    <w:rsid w:val="414B3C0F"/>
    <w:rsid w:val="41632B57"/>
    <w:rsid w:val="417C1CE7"/>
    <w:rsid w:val="41900018"/>
    <w:rsid w:val="41944406"/>
    <w:rsid w:val="41CE128F"/>
    <w:rsid w:val="41DA6F12"/>
    <w:rsid w:val="42171FB1"/>
    <w:rsid w:val="434E6957"/>
    <w:rsid w:val="43BA0E31"/>
    <w:rsid w:val="43C15147"/>
    <w:rsid w:val="43E14DD2"/>
    <w:rsid w:val="43F800E9"/>
    <w:rsid w:val="440879F6"/>
    <w:rsid w:val="443A7E4B"/>
    <w:rsid w:val="445765BA"/>
    <w:rsid w:val="452F5B3A"/>
    <w:rsid w:val="454E7FD2"/>
    <w:rsid w:val="46061BDC"/>
    <w:rsid w:val="461404F8"/>
    <w:rsid w:val="46413018"/>
    <w:rsid w:val="464B7E04"/>
    <w:rsid w:val="468041AA"/>
    <w:rsid w:val="468123C6"/>
    <w:rsid w:val="46901EEE"/>
    <w:rsid w:val="469C74D2"/>
    <w:rsid w:val="47445515"/>
    <w:rsid w:val="474B4782"/>
    <w:rsid w:val="47D90D14"/>
    <w:rsid w:val="48387FB0"/>
    <w:rsid w:val="483A6114"/>
    <w:rsid w:val="488727DB"/>
    <w:rsid w:val="48AD7CAA"/>
    <w:rsid w:val="48B82268"/>
    <w:rsid w:val="48C354B3"/>
    <w:rsid w:val="493D58B5"/>
    <w:rsid w:val="494A7A04"/>
    <w:rsid w:val="4A0A26D2"/>
    <w:rsid w:val="4A2019A5"/>
    <w:rsid w:val="4A241A0B"/>
    <w:rsid w:val="4A7B2875"/>
    <w:rsid w:val="4A8B4961"/>
    <w:rsid w:val="4A934476"/>
    <w:rsid w:val="4AAA220A"/>
    <w:rsid w:val="4AE12E67"/>
    <w:rsid w:val="4AF0289C"/>
    <w:rsid w:val="4B4C0111"/>
    <w:rsid w:val="4B8553A9"/>
    <w:rsid w:val="4BDB3730"/>
    <w:rsid w:val="4C200F7A"/>
    <w:rsid w:val="4CB45DB9"/>
    <w:rsid w:val="4CEE3180"/>
    <w:rsid w:val="4D0F4AF6"/>
    <w:rsid w:val="4DF26996"/>
    <w:rsid w:val="4DF94F37"/>
    <w:rsid w:val="4E0A1DD5"/>
    <w:rsid w:val="4E3160E5"/>
    <w:rsid w:val="4E4D37AF"/>
    <w:rsid w:val="4E8C6496"/>
    <w:rsid w:val="4EFD18DE"/>
    <w:rsid w:val="4F144236"/>
    <w:rsid w:val="4F663C87"/>
    <w:rsid w:val="4F7E29A8"/>
    <w:rsid w:val="4F9E1FFC"/>
    <w:rsid w:val="50447CC2"/>
    <w:rsid w:val="50774392"/>
    <w:rsid w:val="50874A7C"/>
    <w:rsid w:val="50895EE7"/>
    <w:rsid w:val="50921B9D"/>
    <w:rsid w:val="50D16158"/>
    <w:rsid w:val="50DB5F45"/>
    <w:rsid w:val="51025EB1"/>
    <w:rsid w:val="51141503"/>
    <w:rsid w:val="518D0ED5"/>
    <w:rsid w:val="525C687F"/>
    <w:rsid w:val="52F647F7"/>
    <w:rsid w:val="52F92565"/>
    <w:rsid w:val="53396133"/>
    <w:rsid w:val="53D03877"/>
    <w:rsid w:val="542F73CA"/>
    <w:rsid w:val="5430786D"/>
    <w:rsid w:val="545A1D2A"/>
    <w:rsid w:val="54C811C0"/>
    <w:rsid w:val="556A442D"/>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4151CF"/>
    <w:rsid w:val="595C505B"/>
    <w:rsid w:val="595E55C3"/>
    <w:rsid w:val="596E7E20"/>
    <w:rsid w:val="5A60780B"/>
    <w:rsid w:val="5AB34579"/>
    <w:rsid w:val="5AC71DDA"/>
    <w:rsid w:val="5AFC6609"/>
    <w:rsid w:val="5B113480"/>
    <w:rsid w:val="5BD456CE"/>
    <w:rsid w:val="5C0D1F49"/>
    <w:rsid w:val="5C922C71"/>
    <w:rsid w:val="5CBB0CE2"/>
    <w:rsid w:val="5CC17177"/>
    <w:rsid w:val="5CF306BC"/>
    <w:rsid w:val="5D3F3D64"/>
    <w:rsid w:val="5D794746"/>
    <w:rsid w:val="5D833043"/>
    <w:rsid w:val="5DD92690"/>
    <w:rsid w:val="5DDB1CFD"/>
    <w:rsid w:val="5E7E6D93"/>
    <w:rsid w:val="5ED44800"/>
    <w:rsid w:val="5F350BDE"/>
    <w:rsid w:val="5F61632C"/>
    <w:rsid w:val="5FA17648"/>
    <w:rsid w:val="5FE705CB"/>
    <w:rsid w:val="603D5080"/>
    <w:rsid w:val="60CC747A"/>
    <w:rsid w:val="60D0261B"/>
    <w:rsid w:val="6160574F"/>
    <w:rsid w:val="618E3791"/>
    <w:rsid w:val="61947DCA"/>
    <w:rsid w:val="61A46A97"/>
    <w:rsid w:val="61D1382F"/>
    <w:rsid w:val="61F114A2"/>
    <w:rsid w:val="622B0ABA"/>
    <w:rsid w:val="62512BB4"/>
    <w:rsid w:val="625D7D1A"/>
    <w:rsid w:val="62DD7D21"/>
    <w:rsid w:val="637D586B"/>
    <w:rsid w:val="63A5560B"/>
    <w:rsid w:val="63AD0817"/>
    <w:rsid w:val="63E9091F"/>
    <w:rsid w:val="64322AF9"/>
    <w:rsid w:val="64B55DFA"/>
    <w:rsid w:val="64D6010D"/>
    <w:rsid w:val="64D82665"/>
    <w:rsid w:val="64E47C96"/>
    <w:rsid w:val="651E5741"/>
    <w:rsid w:val="655A5F81"/>
    <w:rsid w:val="658A4877"/>
    <w:rsid w:val="65A00902"/>
    <w:rsid w:val="65AC6EDD"/>
    <w:rsid w:val="65D97752"/>
    <w:rsid w:val="66085536"/>
    <w:rsid w:val="66105BF7"/>
    <w:rsid w:val="66150023"/>
    <w:rsid w:val="6628010D"/>
    <w:rsid w:val="668111BE"/>
    <w:rsid w:val="669B4528"/>
    <w:rsid w:val="66CC12D7"/>
    <w:rsid w:val="67134CEF"/>
    <w:rsid w:val="671F1ABD"/>
    <w:rsid w:val="6726379B"/>
    <w:rsid w:val="67521A59"/>
    <w:rsid w:val="677A11A6"/>
    <w:rsid w:val="67C304AB"/>
    <w:rsid w:val="67D7654E"/>
    <w:rsid w:val="683F0658"/>
    <w:rsid w:val="689C6793"/>
    <w:rsid w:val="68DB0208"/>
    <w:rsid w:val="68FB170C"/>
    <w:rsid w:val="691B3D98"/>
    <w:rsid w:val="693748F0"/>
    <w:rsid w:val="69846A0E"/>
    <w:rsid w:val="69AA1366"/>
    <w:rsid w:val="69AD798C"/>
    <w:rsid w:val="69D005C0"/>
    <w:rsid w:val="69D80B96"/>
    <w:rsid w:val="6A336C65"/>
    <w:rsid w:val="6A7D7FB7"/>
    <w:rsid w:val="6B68175F"/>
    <w:rsid w:val="6BB45C24"/>
    <w:rsid w:val="6BEB2C95"/>
    <w:rsid w:val="6BFD799F"/>
    <w:rsid w:val="6C4A2E5A"/>
    <w:rsid w:val="6C8138D0"/>
    <w:rsid w:val="6CEF0725"/>
    <w:rsid w:val="6D4B2604"/>
    <w:rsid w:val="6D8030E4"/>
    <w:rsid w:val="6E0E35C4"/>
    <w:rsid w:val="6E0F7A08"/>
    <w:rsid w:val="6E2044C3"/>
    <w:rsid w:val="6E3947F5"/>
    <w:rsid w:val="6E9C74ED"/>
    <w:rsid w:val="6EF72976"/>
    <w:rsid w:val="6F795A80"/>
    <w:rsid w:val="6F7C1D2E"/>
    <w:rsid w:val="6F8E0407"/>
    <w:rsid w:val="6FDD069F"/>
    <w:rsid w:val="6FEA4BD9"/>
    <w:rsid w:val="702B4D16"/>
    <w:rsid w:val="70AA6621"/>
    <w:rsid w:val="7111480F"/>
    <w:rsid w:val="71261F49"/>
    <w:rsid w:val="71282B08"/>
    <w:rsid w:val="712E6956"/>
    <w:rsid w:val="71473612"/>
    <w:rsid w:val="71504F32"/>
    <w:rsid w:val="7152309F"/>
    <w:rsid w:val="718F7F65"/>
    <w:rsid w:val="727B234E"/>
    <w:rsid w:val="72D068C7"/>
    <w:rsid w:val="72E42ED8"/>
    <w:rsid w:val="735F4CB9"/>
    <w:rsid w:val="73674C62"/>
    <w:rsid w:val="73845865"/>
    <w:rsid w:val="739B6D9E"/>
    <w:rsid w:val="73BC1D76"/>
    <w:rsid w:val="73DA3EAB"/>
    <w:rsid w:val="73FB6630"/>
    <w:rsid w:val="748D790E"/>
    <w:rsid w:val="749820CC"/>
    <w:rsid w:val="74CE04EC"/>
    <w:rsid w:val="74E76DCD"/>
    <w:rsid w:val="751D7C0A"/>
    <w:rsid w:val="75722D56"/>
    <w:rsid w:val="75A262A9"/>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8B9308C"/>
    <w:rsid w:val="790A6425"/>
    <w:rsid w:val="790E2D96"/>
    <w:rsid w:val="791B54B2"/>
    <w:rsid w:val="795A0A34"/>
    <w:rsid w:val="797339C3"/>
    <w:rsid w:val="79D57D57"/>
    <w:rsid w:val="79F00650"/>
    <w:rsid w:val="7A6242BF"/>
    <w:rsid w:val="7A794513"/>
    <w:rsid w:val="7ABD4E4A"/>
    <w:rsid w:val="7AE952D2"/>
    <w:rsid w:val="7C7248A0"/>
    <w:rsid w:val="7C976D69"/>
    <w:rsid w:val="7CD752DA"/>
    <w:rsid w:val="7CDE40AB"/>
    <w:rsid w:val="7CF057E2"/>
    <w:rsid w:val="7D1548B5"/>
    <w:rsid w:val="7DF84014"/>
    <w:rsid w:val="7E207949"/>
    <w:rsid w:val="7E5C0A47"/>
    <w:rsid w:val="7E670C75"/>
    <w:rsid w:val="7EE24272"/>
    <w:rsid w:val="7EEA6053"/>
    <w:rsid w:val="7F487C04"/>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Strong"/>
    <w:basedOn w:val="10"/>
    <w:qFormat/>
    <w:uiPriority w:val="0"/>
    <w:rPr>
      <w:b/>
    </w:rPr>
  </w:style>
  <w:style w:type="paragraph" w:customStyle="1" w:styleId="12">
    <w:name w:val="WPSOffice手动目录 3"/>
    <w:qFormat/>
    <w:uiPriority w:val="0"/>
    <w:pPr>
      <w:ind w:leftChars="400"/>
    </w:pPr>
    <w:rPr>
      <w:rFonts w:ascii="Times New Roman" w:hAnsi="Times New Roman" w:eastAsia="宋体" w:cs="Times New Roman"/>
      <w:sz w:val="20"/>
      <w:szCs w:val="20"/>
    </w:rPr>
  </w:style>
  <w:style w:type="paragraph" w:customStyle="1" w:styleId="13">
    <w:name w:val="WPSOffice手动目录 2"/>
    <w:qFormat/>
    <w:uiPriority w:val="0"/>
    <w:pPr>
      <w:ind w:leftChars="200"/>
    </w:pPr>
    <w:rPr>
      <w:rFonts w:ascii="Times New Roman" w:hAnsi="Times New Roman" w:eastAsia="宋体" w:cs="Times New Roman"/>
      <w:sz w:val="20"/>
      <w:szCs w:val="20"/>
    </w:rPr>
  </w:style>
  <w:style w:type="paragraph" w:customStyle="1" w:styleId="14">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5360</Words>
  <Characters>6088</Characters>
  <Lines>0</Lines>
  <Paragraphs>0</Paragraphs>
  <TotalTime>14</TotalTime>
  <ScaleCrop>false</ScaleCrop>
  <LinksUpToDate>false</LinksUpToDate>
  <CharactersWithSpaces>6100</CharactersWithSpaces>
  <Application>WPS Office_11.8.2.12055_F1E327BC-269C-435d-A152-05C5408002CA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dcterms:modified xsi:type="dcterms:W3CDTF">2025-04-07T11:39:55Z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2052-11.8.2.12055</vt:lpwstr>
  </property>
  <property fmtid="{D5CDD505-2E9C-101B-9397-08002B2CF9AE}" pid="3" name="ICV">
    <vt:lpwstr>1E4BADC257244E19AF8EF3EE215B2173_13</vt:lpwstr>
  </property>
  <property fmtid="{D5CDD505-2E9C-101B-9397-08002B2CF9AE}" pid="4" name="KSOTemplateDocerSaveRecord">
    <vt:lpwstr>eyJoZGlkIjoiOTBkM2UyYTEzZDM1MTJiZGUwYjAwMjlkMzQ2MDA1YTAiLCJ1c2VySWQiOiIxMTQ4MzU0NjEyIn0=</vt:lpwstr>
  </property>
</Properties>
</file>