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裕民县新地乡卫生院</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0" w:name="_Toc24028"/>
      <w:bookmarkStart w:id="1" w:name="_Toc32314"/>
      <w:r>
        <w:rPr>
          <w:rFonts w:hint="eastAsia" w:ascii="黑体" w:hAnsi="黑体" w:eastAsia="黑体"/>
          <w:color w:val="auto"/>
          <w:sz w:val="32"/>
          <w:szCs w:val="32"/>
          <w:highlight w:val="none"/>
        </w:rPr>
        <w:t>第一部分</w:t>
      </w:r>
      <w:bookmarkEnd w:id="0"/>
      <w:bookmarkEnd w:id="1"/>
      <w:r>
        <w:rPr>
          <w:rFonts w:hint="eastAsia" w:ascii="黑体" w:hAnsi="黑体" w:eastAsia="黑体"/>
          <w:color w:val="auto"/>
          <w:sz w:val="32"/>
          <w:szCs w:val="32"/>
          <w:highlight w:val="none"/>
          <w:lang w:val="en-US" w:eastAsia="zh-CN"/>
        </w:rPr>
        <w:t xml:space="preserve"> </w:t>
      </w:r>
      <w:r>
        <w:rPr>
          <w:rFonts w:hint="eastAsia" w:ascii="黑体" w:hAnsi="黑体" w:eastAsia="黑体"/>
          <w:sz w:val="32"/>
          <w:szCs w:val="32"/>
          <w:highlight w:val="none"/>
        </w:rPr>
        <w:t>单位概况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bookmarkStart w:id="4" w:name="_Toc31238"/>
      <w:bookmarkStart w:id="5" w:name="_Toc2151"/>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一</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实行网上统一采购、统一配送的基本药物采购机制;实施基本药物零差率销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二</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协助开展突发公共卫生事件应急调查和处置工作，对所属行政村卫生室实行一体化管理，承担对村卫生室和乡村医生的业务管理和指导。协助做好城乡居民医疗保险工作。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裕民县新地乡卫生院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25</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21</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单位无下属预算单位，下设11个处室，分别是：药房、中医馆、化验室、B超室、心电图室、防疫室、妇幼室、办公室、慢病科、注射室、财务室。</w:t>
      </w:r>
    </w:p>
    <w:p>
      <w:pPr>
        <w:pStyle w:val="2"/>
        <w:rPr>
          <w:rFonts w:hint="eastAsia" w:ascii="仿宋_GB2312" w:eastAsia="仿宋_GB2312"/>
          <w:sz w:val="32"/>
          <w:szCs w:val="32"/>
          <w:highlight w:val="none"/>
          <w:lang w:eastAsia="zh-CN"/>
        </w:rPr>
      </w:pPr>
    </w:p>
    <w:p>
      <w:pPr>
        <w:pStyle w:val="2"/>
        <w:rPr>
          <w:rFonts w:hint="eastAsia" w:ascii="仿宋_GB2312" w:eastAsia="仿宋_GB2312"/>
          <w:sz w:val="32"/>
          <w:szCs w:val="32"/>
          <w:highlight w:val="none"/>
          <w:lang w:eastAsia="zh-CN"/>
        </w:rPr>
      </w:pP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445.01万元，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433.52万元，使用非财政拨款结余0.00万元，年初结转和结余11.49万元。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445.01万元，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419.50万元，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0.00万元，年末结转和结余25.51万元。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增加62.99万元</w:t>
      </w:r>
      <w:r>
        <w:rPr>
          <w:rFonts w:hint="eastAsia" w:ascii="仿宋_GB2312" w:eastAsia="仿宋_GB2312"/>
          <w:color w:val="auto"/>
          <w:spacing w:val="0"/>
          <w:sz w:val="32"/>
          <w:szCs w:val="32"/>
          <w:highlight w:val="none"/>
          <w:lang w:eastAsia="zh-CN"/>
        </w:rPr>
        <w:t>，增长16.49%，主要原因是：职工增资、</w:t>
      </w:r>
      <w:r>
        <w:rPr>
          <w:rFonts w:hint="eastAsia" w:ascii="仿宋_GB2312" w:eastAsia="仿宋_GB2312"/>
          <w:sz w:val="32"/>
          <w:szCs w:val="32"/>
          <w:highlight w:val="none"/>
        </w:rPr>
        <w:t>基本公共卫生补助、基本药物补助等项目年中追加，收入与上年相比增加。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433.52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378.41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87.29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54.86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12.65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0.24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本年支出419.50万元，</w:t>
      </w:r>
      <w:r>
        <w:rPr>
          <w:rFonts w:hint="eastAsia" w:ascii="仿宋_GB2312" w:hAnsi="仿宋_GB2312" w:eastAsia="仿宋_GB2312" w:cs="仿宋_GB2312"/>
          <w:color w:val="auto"/>
          <w:sz w:val="32"/>
          <w:szCs w:val="32"/>
          <w:highlight w:val="none"/>
          <w:lang w:val="zh-CN" w:eastAsia="zh-CN"/>
        </w:rPr>
        <w:t>其中：基本支出353.48万元，占84.26%；项目支出66.02万元，占15.74%；上缴上级支出0.00万元，占0.00%；经营支出0.00万元，占0.00%；对附属单位补助支出0.00万元，占0.00%。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378.41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378.41</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378.41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378.41</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增加35.31万元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增长10.29%,</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单位职工调资、全民健康体检经费、基本药物补助等项目年中追加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321.98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378.41</w:t>
      </w:r>
      <w:r>
        <w:rPr>
          <w:rFonts w:hint="eastAsia" w:ascii="仿宋_GB2312" w:eastAsia="仿宋_GB2312"/>
          <w:color w:val="auto"/>
          <w:spacing w:val="0"/>
          <w:sz w:val="32"/>
          <w:szCs w:val="32"/>
          <w:highlight w:val="none"/>
          <w:lang w:eastAsia="zh-CN"/>
        </w:rPr>
        <w:t>万元，预决算差异率17.53%，主要原因是：</w:t>
      </w:r>
      <w:r>
        <w:rPr>
          <w:rFonts w:hint="eastAsia" w:ascii="仿宋_GB2312" w:eastAsia="仿宋_GB2312"/>
          <w:sz w:val="32"/>
          <w:szCs w:val="32"/>
          <w:highlight w:val="none"/>
        </w:rPr>
        <w:t>单位职工</w:t>
      </w:r>
      <w:r>
        <w:rPr>
          <w:rFonts w:hint="eastAsia" w:ascii="仿宋_GB2312" w:eastAsia="仿宋_GB2312"/>
          <w:sz w:val="32"/>
          <w:szCs w:val="32"/>
          <w:highlight w:val="none"/>
          <w:lang w:eastAsia="zh-CN"/>
        </w:rPr>
        <w:t>增资</w:t>
      </w:r>
      <w:r>
        <w:rPr>
          <w:rFonts w:hint="eastAsia" w:ascii="仿宋_GB2312" w:eastAsia="仿宋_GB2312"/>
          <w:sz w:val="32"/>
          <w:szCs w:val="32"/>
          <w:highlight w:val="none"/>
        </w:rPr>
        <w:t>、全民健康体检经费、基本药物补助等项目年中追加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2023年度一般公共预算财政拨款支出378.41万元，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90.20%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增加35.31万元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增长10.29%,</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单位职工</w:t>
      </w:r>
      <w:r>
        <w:rPr>
          <w:rFonts w:hint="eastAsia" w:ascii="仿宋_GB2312" w:eastAsia="仿宋_GB2312"/>
          <w:sz w:val="32"/>
          <w:szCs w:val="32"/>
          <w:highlight w:val="none"/>
          <w:lang w:eastAsia="zh-CN"/>
        </w:rPr>
        <w:t>增资</w:t>
      </w:r>
      <w:r>
        <w:rPr>
          <w:rFonts w:hint="eastAsia" w:ascii="仿宋_GB2312" w:eastAsia="仿宋_GB2312"/>
          <w:sz w:val="32"/>
          <w:szCs w:val="32"/>
          <w:highlight w:val="none"/>
        </w:rPr>
        <w:t>、基本公共卫生补助、基本药物补助等项目年中追加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321.98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378.41</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17.53%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单位职工</w:t>
      </w:r>
      <w:r>
        <w:rPr>
          <w:rFonts w:hint="eastAsia" w:ascii="仿宋_GB2312" w:eastAsia="仿宋_GB2312"/>
          <w:sz w:val="32"/>
          <w:szCs w:val="32"/>
          <w:highlight w:val="none"/>
          <w:lang w:eastAsia="zh-CN"/>
        </w:rPr>
        <w:t>增资</w:t>
      </w:r>
      <w:r>
        <w:rPr>
          <w:rFonts w:hint="eastAsia" w:ascii="仿宋_GB2312" w:eastAsia="仿宋_GB2312"/>
          <w:sz w:val="32"/>
          <w:szCs w:val="32"/>
          <w:highlight w:val="none"/>
        </w:rPr>
        <w:t>、基本公共卫生补助、基本药物补助等项目年中追加</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32.79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8.67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321.78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85.03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23.84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6.30</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卫生健康支出（类）卫生健康管理事务（款）其他卫生健康管理事务支出（项）:支出决算数为1.34万元，比上年决算增加1.34万元，增长100%，主要原因是：此项资金上年度功能科目为2100399，本年功能科目调整为2100199，列入此款项。</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2.卫生健康支出（类）行政事业单位医疗（款）事业单位医疗（项）:支出决算数为12.95万元，比上年决算增加0.9</w:t>
      </w:r>
      <w:r>
        <w:rPr>
          <w:rFonts w:hint="eastAsia" w:ascii="仿宋_GB2312" w:eastAsia="仿宋_GB2312" w:cs="Times New Roman"/>
          <w:color w:val="auto"/>
          <w:spacing w:val="0"/>
          <w:kern w:val="2"/>
          <w:sz w:val="32"/>
          <w:szCs w:val="32"/>
          <w:highlight w:val="none"/>
          <w:lang w:val="en-US" w:eastAsia="zh-CN" w:bidi="ar-SA"/>
        </w:rPr>
        <w:t>5</w:t>
      </w:r>
      <w:r>
        <w:rPr>
          <w:rFonts w:hint="eastAsia" w:ascii="仿宋_GB2312" w:hAnsi="Times New Roman" w:eastAsia="仿宋_GB2312" w:cs="Times New Roman"/>
          <w:color w:val="auto"/>
          <w:spacing w:val="0"/>
          <w:kern w:val="2"/>
          <w:sz w:val="32"/>
          <w:szCs w:val="32"/>
          <w:highlight w:val="none"/>
          <w:lang w:val="en-US" w:eastAsia="zh-CN" w:bidi="ar-SA"/>
        </w:rPr>
        <w:t>万元，增长7.9</w:t>
      </w:r>
      <w:r>
        <w:rPr>
          <w:rFonts w:hint="eastAsia" w:ascii="仿宋_GB2312" w:eastAsia="仿宋_GB2312" w:cs="Times New Roman"/>
          <w:color w:val="auto"/>
          <w:spacing w:val="0"/>
          <w:kern w:val="2"/>
          <w:sz w:val="32"/>
          <w:szCs w:val="32"/>
          <w:highlight w:val="none"/>
          <w:lang w:val="en-US" w:eastAsia="zh-CN" w:bidi="ar-SA"/>
        </w:rPr>
        <w:t>2</w:t>
      </w:r>
      <w:r>
        <w:rPr>
          <w:rFonts w:hint="eastAsia" w:ascii="仿宋_GB2312" w:hAnsi="Times New Roman" w:eastAsia="仿宋_GB2312" w:cs="Times New Roman"/>
          <w:color w:val="auto"/>
          <w:spacing w:val="0"/>
          <w:kern w:val="2"/>
          <w:sz w:val="32"/>
          <w:szCs w:val="32"/>
          <w:highlight w:val="none"/>
          <w:lang w:val="en-US" w:eastAsia="zh-CN" w:bidi="ar-SA"/>
        </w:rPr>
        <w:t>%，主要原因是：单位职工工资考核增资</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卫生健康支出（类）基层医疗卫生机构（款）其他基层医疗卫生机构支出（项）:支出决算数为6.05万元，比上年决算减少1.75万元，下降22.43%，主要原因是：村医工资上年度功能科目为2100399，本年功能科目调整为2100199，其他基层医疗卫生机构支出项目资金减少，支出决算数比上年决算减少</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4.卫生健康支出（类）公共卫生（款）其他公共卫生支出（项）:支出决算数为17.19万元，比上年决算减少5.90万元，下降25.56%，主要原因是：</w:t>
      </w:r>
      <w:r>
        <w:rPr>
          <w:rFonts w:hint="eastAsia" w:ascii="仿宋_GB2312" w:hAnsi="Times New Roman" w:eastAsia="仿宋_GB2312" w:cs="Times New Roman"/>
          <w:color w:val="auto"/>
          <w:spacing w:val="0"/>
          <w:kern w:val="2"/>
          <w:sz w:val="32"/>
          <w:szCs w:val="32"/>
          <w:highlight w:val="none"/>
          <w:lang w:val="zh-CN" w:eastAsia="zh-CN" w:bidi="ar-SA"/>
        </w:rPr>
        <w:t>本年其他公共卫生服务项目经费减少。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卫生健康支出（类）基层医疗卫生机构（款）乡镇卫生院（项）:支出决算数为242.81万元，比上年决算增加21.50万元，增长9.72%，主要原因是：1、人员政策性增资。2、追加2023年度绩效奖金、考核优秀奖金及本年增资指标支出。</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6.住房保障支出（类）住房改革支出（款）住房公积金（项）:支出决算数为23.84万元，比上年决算增加5.2</w:t>
      </w:r>
      <w:r>
        <w:rPr>
          <w:rFonts w:hint="eastAsia" w:ascii="仿宋_GB2312" w:eastAsia="仿宋_GB2312" w:cs="Times New Roman"/>
          <w:color w:val="auto"/>
          <w:spacing w:val="0"/>
          <w:kern w:val="2"/>
          <w:sz w:val="32"/>
          <w:szCs w:val="32"/>
          <w:highlight w:val="none"/>
          <w:lang w:val="en-US" w:eastAsia="zh-CN" w:bidi="ar-SA"/>
        </w:rPr>
        <w:t>6</w:t>
      </w:r>
      <w:r>
        <w:rPr>
          <w:rFonts w:hint="eastAsia" w:ascii="仿宋_GB2312" w:hAnsi="Times New Roman" w:eastAsia="仿宋_GB2312" w:cs="Times New Roman"/>
          <w:color w:val="auto"/>
          <w:spacing w:val="0"/>
          <w:kern w:val="2"/>
          <w:sz w:val="32"/>
          <w:szCs w:val="32"/>
          <w:highlight w:val="none"/>
          <w:lang w:val="en-US" w:eastAsia="zh-CN" w:bidi="ar-SA"/>
        </w:rPr>
        <w:t>万元，增长28.</w:t>
      </w:r>
      <w:r>
        <w:rPr>
          <w:rFonts w:hint="eastAsia" w:ascii="仿宋_GB2312" w:eastAsia="仿宋_GB2312" w:cs="Times New Roman"/>
          <w:color w:val="auto"/>
          <w:spacing w:val="0"/>
          <w:kern w:val="2"/>
          <w:sz w:val="32"/>
          <w:szCs w:val="32"/>
          <w:highlight w:val="none"/>
          <w:lang w:val="en-US" w:eastAsia="zh-CN" w:bidi="ar-SA"/>
        </w:rPr>
        <w:t>31</w:t>
      </w:r>
      <w:r>
        <w:rPr>
          <w:rFonts w:hint="eastAsia" w:ascii="仿宋_GB2312" w:hAnsi="Times New Roman" w:eastAsia="仿宋_GB2312" w:cs="Times New Roman"/>
          <w:color w:val="auto"/>
          <w:spacing w:val="0"/>
          <w:kern w:val="2"/>
          <w:sz w:val="32"/>
          <w:szCs w:val="32"/>
          <w:highlight w:val="none"/>
          <w:lang w:val="en-US" w:eastAsia="zh-CN" w:bidi="ar-SA"/>
        </w:rPr>
        <w:t>%，主要原因是：由于工资增资，住房公积金缴费基数上调。</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7.社会保障和就业支出（类）行政事业单位养老支出（款）事业单位离退休（项）:支出决算数为2.07万元，比上年决算减少0.67万元，下降24.4</w:t>
      </w:r>
      <w:r>
        <w:rPr>
          <w:rFonts w:hint="eastAsia" w:ascii="仿宋_GB2312" w:eastAsia="仿宋_GB2312" w:cs="Times New Roman"/>
          <w:color w:val="auto"/>
          <w:spacing w:val="0"/>
          <w:kern w:val="2"/>
          <w:sz w:val="32"/>
          <w:szCs w:val="32"/>
          <w:highlight w:val="none"/>
          <w:lang w:val="en-US" w:eastAsia="zh-CN" w:bidi="ar-SA"/>
        </w:rPr>
        <w:t>5</w:t>
      </w:r>
      <w:r>
        <w:rPr>
          <w:rFonts w:hint="eastAsia" w:ascii="仿宋_GB2312" w:hAnsi="Times New Roman" w:eastAsia="仿宋_GB2312" w:cs="Times New Roman"/>
          <w:color w:val="auto"/>
          <w:spacing w:val="0"/>
          <w:kern w:val="2"/>
          <w:sz w:val="32"/>
          <w:szCs w:val="32"/>
          <w:highlight w:val="none"/>
          <w:lang w:val="en-US" w:eastAsia="zh-CN" w:bidi="ar-SA"/>
        </w:rPr>
        <w:t>%，主要原因是：由于2023年退休人员医疗金支出减少，所以支出决算数比上年决算减少。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8.卫生健康支出（类）公共卫生（款）基本公共卫生服务（项）:支出决算数为35.33万元，比上年决算增加4.80万元，增长15.71%，主要原因是：基本公共卫生服务项目资金上级拨款增加，支出决算数比上年决算增加。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9.卫生健康支出（类）公共卫生（款）重大公共卫生服务（项）:支出决算数为6.04万元，比上年决算增加2.77万元，增长84.</w:t>
      </w:r>
      <w:r>
        <w:rPr>
          <w:rFonts w:hint="eastAsia" w:ascii="仿宋_GB2312" w:eastAsia="仿宋_GB2312" w:cs="Times New Roman"/>
          <w:color w:val="auto"/>
          <w:spacing w:val="0"/>
          <w:kern w:val="2"/>
          <w:sz w:val="32"/>
          <w:szCs w:val="32"/>
          <w:highlight w:val="none"/>
          <w:lang w:val="en-US" w:eastAsia="zh-CN" w:bidi="ar-SA"/>
        </w:rPr>
        <w:t>71</w:t>
      </w:r>
      <w:r>
        <w:rPr>
          <w:rFonts w:hint="eastAsia" w:ascii="仿宋_GB2312" w:hAnsi="Times New Roman" w:eastAsia="仿宋_GB2312" w:cs="Times New Roman"/>
          <w:color w:val="auto"/>
          <w:spacing w:val="0"/>
          <w:kern w:val="2"/>
          <w:sz w:val="32"/>
          <w:szCs w:val="32"/>
          <w:highlight w:val="none"/>
          <w:lang w:val="en-US" w:eastAsia="zh-CN" w:bidi="ar-SA"/>
        </w:rPr>
        <w:t>%，主要原因是：重大公共卫生服务项目资金上级拨款增加。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10.卫生健康支出（类）计划生育事务（款）计划生育服务（项）:支出决算数为0.07万元，比上年决算减少0.23万元，下降77.04%，主要原因是：本年计划生育服务项目下达及支出数比上年减少。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11.社会保障和就业支出（类）行政事业单位养老支出（款）机关事业单位基本养老保险缴费支出（项）:支出决算数为30.72万元，比上年决算增加7.24万元，增长30.83%，主要原因是：单位职工工资考核增资，机关事业单位基本养老保险缴费支出基数提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312.39</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309.42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基本工资、津贴补贴、奖金、绩效工资、机关事业单位基本养老保险缴费、职工基本医疗保险缴费、其他社会保障缴费、住房公积金、退休费、医疗费补助、奖励金。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2.97</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此项支出</w:t>
      </w:r>
      <w:r>
        <w:rPr>
          <w:rFonts w:hint="eastAsia" w:ascii="仿宋_GB2312" w:eastAsia="仿宋_GB2312"/>
          <w:sz w:val="32"/>
          <w:szCs w:val="32"/>
          <w:highlight w:val="none"/>
          <w:lang w:eastAsia="zh-CN"/>
        </w:rPr>
        <w:t>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1辆，与公务用车保有量差异原因是：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裕民县新地乡卫生院（事业单位）公用经费支出2.97万元，</w:t>
      </w:r>
      <w:r>
        <w:rPr>
          <w:rFonts w:hint="eastAsia" w:ascii="仿宋_GB2312" w:eastAsia="仿宋_GB2312"/>
          <w:color w:val="auto"/>
          <w:sz w:val="32"/>
          <w:szCs w:val="32"/>
          <w:highlight w:val="none"/>
          <w:lang w:val="zh-CN" w:eastAsia="zh-CN"/>
        </w:rPr>
        <w:t>比上年增加0.15万元，增长5.31%，主要原因是：</w:t>
      </w:r>
      <w:r>
        <w:rPr>
          <w:rFonts w:hint="eastAsia" w:ascii="仿宋_GB2312" w:eastAsia="仿宋_GB2312"/>
          <w:color w:val="auto"/>
          <w:sz w:val="32"/>
          <w:szCs w:val="32"/>
          <w:highlight w:val="none"/>
          <w:lang w:eastAsia="zh-CN"/>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年单位职工增资，所以机关运行经费财政拨款决算比上年决算增加</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2023年度政府采购支出总额9.56万元，其中：政府采购货物支出4.67万元、政府采购工程支出0.00万元、政府采购服务支出4.89万元。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授予中小企业合同金额9.56万元，占政府采购支出总额的100.00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，其中：授予小微企业合同金额9.56万元，占政府采购支出总额的100.00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244.29</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屋410.0平方米，价值35.64万元。车辆1辆，价值10.45万元，其中：副部（省）级及以上领导用车0辆、主要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辆，其他用车主要是：我单位没有其他用车；单价100万元（含）以上设备（不含车辆）0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预算总额445.01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实际执行总额419.50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全年预算数91.53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全年执行数66.02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其中</w:t>
      </w:r>
      <w:bookmarkStart w:id="48" w:name="_GoBack"/>
      <w:bookmarkEnd w:id="48"/>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lang w:val="en-US" w:eastAsia="zh-Hans"/>
        </w:rPr>
        <w:t>项目</w:t>
      </w:r>
      <w:r>
        <w:rPr>
          <w:rFonts w:hint="eastAsia" w:ascii="仿宋_GB2312" w:eastAsia="仿宋_GB2312"/>
          <w:color w:val="auto"/>
          <w:sz w:val="32"/>
          <w:szCs w:val="32"/>
          <w:highlight w:val="none"/>
          <w:lang w:val="en-US" w:eastAsia="zh-CN"/>
        </w:rPr>
        <w:t>1个涉及金额6.04万元。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sz w:val="32"/>
          <w:szCs w:val="32"/>
          <w:highlight w:val="none"/>
          <w:lang w:eastAsia="zh-CN"/>
        </w:rPr>
        <w:t>预算绩效管理取得的成效：一是农牧民健康意识提高；二是提高农牧民对公共卫生知识的了解，懂得如何预防各种疾病。发现的问题及原因：一是村卫生室医务人员少，各项公共卫生工作开展不到位；二是卫生院没有对村医及时的培训。下一步改进措施：一是加强对村医的培训，提高业务水平；二是积极开展公共卫生工作，及时合理支付项目资金；加强项目实施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30" w:name="_Toc24143"/>
      <w:bookmarkStart w:id="31" w:name="_Toc3250"/>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lang w:val="en-US" w:eastAsia="zh-Hans"/>
        </w:rPr>
        <w:t>项目</w:t>
      </w:r>
      <w:r>
        <w:rPr>
          <w:rFonts w:hint="eastAsia" w:ascii="仿宋_GB2312" w:eastAsia="仿宋_GB2312"/>
          <w:color w:val="auto"/>
          <w:sz w:val="32"/>
          <w:szCs w:val="32"/>
          <w:highlight w:val="none"/>
          <w:lang w:val="en-US" w:eastAsia="zh-CN"/>
        </w:rPr>
        <w:t>1个涉及金额6.04万元。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6223A4"/>
    <w:rsid w:val="02BD3108"/>
    <w:rsid w:val="02F73D26"/>
    <w:rsid w:val="034D4FEF"/>
    <w:rsid w:val="035D1785"/>
    <w:rsid w:val="039F47CE"/>
    <w:rsid w:val="03E05CE8"/>
    <w:rsid w:val="03F973EE"/>
    <w:rsid w:val="043E5B56"/>
    <w:rsid w:val="04C04386"/>
    <w:rsid w:val="04D96608"/>
    <w:rsid w:val="04FA68C4"/>
    <w:rsid w:val="053F5AE6"/>
    <w:rsid w:val="057C0B0F"/>
    <w:rsid w:val="05A87ED5"/>
    <w:rsid w:val="05EF4B48"/>
    <w:rsid w:val="05F76ECA"/>
    <w:rsid w:val="06792773"/>
    <w:rsid w:val="07093795"/>
    <w:rsid w:val="07804730"/>
    <w:rsid w:val="079052BE"/>
    <w:rsid w:val="07DB1681"/>
    <w:rsid w:val="08145C21"/>
    <w:rsid w:val="08422688"/>
    <w:rsid w:val="085854ED"/>
    <w:rsid w:val="0879188F"/>
    <w:rsid w:val="08A0354D"/>
    <w:rsid w:val="08CD4C49"/>
    <w:rsid w:val="08FA6E50"/>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04CCC"/>
    <w:rsid w:val="0BE97AC1"/>
    <w:rsid w:val="0C1C4780"/>
    <w:rsid w:val="0C3613A3"/>
    <w:rsid w:val="0C5E519C"/>
    <w:rsid w:val="0C7227A7"/>
    <w:rsid w:val="0CA52EE8"/>
    <w:rsid w:val="0CBD6988"/>
    <w:rsid w:val="0CD208AC"/>
    <w:rsid w:val="0D4903E8"/>
    <w:rsid w:val="0D4A5FD2"/>
    <w:rsid w:val="0D6151D0"/>
    <w:rsid w:val="0D7A4A46"/>
    <w:rsid w:val="0E640559"/>
    <w:rsid w:val="0F1113DA"/>
    <w:rsid w:val="0F78534A"/>
    <w:rsid w:val="0F89358A"/>
    <w:rsid w:val="0F8C6D51"/>
    <w:rsid w:val="10536BBB"/>
    <w:rsid w:val="105B0B5E"/>
    <w:rsid w:val="10AB6C5E"/>
    <w:rsid w:val="10DD3063"/>
    <w:rsid w:val="112E58D0"/>
    <w:rsid w:val="11731CAC"/>
    <w:rsid w:val="119500A0"/>
    <w:rsid w:val="11C0733B"/>
    <w:rsid w:val="11D50D17"/>
    <w:rsid w:val="120E0809"/>
    <w:rsid w:val="127F665A"/>
    <w:rsid w:val="12F7068C"/>
    <w:rsid w:val="13E73CB7"/>
    <w:rsid w:val="14207DC0"/>
    <w:rsid w:val="14B932DA"/>
    <w:rsid w:val="14CD411C"/>
    <w:rsid w:val="150A66AF"/>
    <w:rsid w:val="154C1139"/>
    <w:rsid w:val="158C5B77"/>
    <w:rsid w:val="15AF2A04"/>
    <w:rsid w:val="160D1149"/>
    <w:rsid w:val="163563C0"/>
    <w:rsid w:val="164315EF"/>
    <w:rsid w:val="16557DFE"/>
    <w:rsid w:val="167268FB"/>
    <w:rsid w:val="16770D0A"/>
    <w:rsid w:val="16D50C50"/>
    <w:rsid w:val="16D76A77"/>
    <w:rsid w:val="16E120E1"/>
    <w:rsid w:val="17385A05"/>
    <w:rsid w:val="173B3901"/>
    <w:rsid w:val="176747F9"/>
    <w:rsid w:val="17954A6E"/>
    <w:rsid w:val="179F2AC6"/>
    <w:rsid w:val="180059E9"/>
    <w:rsid w:val="181C5347"/>
    <w:rsid w:val="184510FD"/>
    <w:rsid w:val="190648B0"/>
    <w:rsid w:val="19071D6C"/>
    <w:rsid w:val="19D26CD4"/>
    <w:rsid w:val="19E60D19"/>
    <w:rsid w:val="1A3E3450"/>
    <w:rsid w:val="1A534654"/>
    <w:rsid w:val="1AAC0209"/>
    <w:rsid w:val="1AD807E5"/>
    <w:rsid w:val="1B114F34"/>
    <w:rsid w:val="1B39345B"/>
    <w:rsid w:val="1B723200"/>
    <w:rsid w:val="1B7818EA"/>
    <w:rsid w:val="1BFB2A1F"/>
    <w:rsid w:val="1C015D4A"/>
    <w:rsid w:val="1C290ED5"/>
    <w:rsid w:val="1C317E4F"/>
    <w:rsid w:val="1C472464"/>
    <w:rsid w:val="1D22799A"/>
    <w:rsid w:val="1D5C1A72"/>
    <w:rsid w:val="1DAF458D"/>
    <w:rsid w:val="1DC55869"/>
    <w:rsid w:val="1E086ACE"/>
    <w:rsid w:val="1E62130A"/>
    <w:rsid w:val="1E97358B"/>
    <w:rsid w:val="1EAA4A5F"/>
    <w:rsid w:val="1EBF367A"/>
    <w:rsid w:val="1EE869A7"/>
    <w:rsid w:val="1FA15E62"/>
    <w:rsid w:val="1FCA320B"/>
    <w:rsid w:val="1FED69B6"/>
    <w:rsid w:val="2064678E"/>
    <w:rsid w:val="20DC1AB9"/>
    <w:rsid w:val="20DD6197"/>
    <w:rsid w:val="212631E0"/>
    <w:rsid w:val="21A53757"/>
    <w:rsid w:val="221013E1"/>
    <w:rsid w:val="221236C6"/>
    <w:rsid w:val="22D7662C"/>
    <w:rsid w:val="230A346E"/>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3D1999"/>
    <w:rsid w:val="285F51FF"/>
    <w:rsid w:val="28DF2665"/>
    <w:rsid w:val="29072599"/>
    <w:rsid w:val="291029F3"/>
    <w:rsid w:val="29CB58F0"/>
    <w:rsid w:val="2A053397"/>
    <w:rsid w:val="2A145E96"/>
    <w:rsid w:val="2A2131BB"/>
    <w:rsid w:val="2AF5378F"/>
    <w:rsid w:val="2BB94DBF"/>
    <w:rsid w:val="2BF66E14"/>
    <w:rsid w:val="2C6F314E"/>
    <w:rsid w:val="2C8E5B3F"/>
    <w:rsid w:val="2CC206BE"/>
    <w:rsid w:val="2D061684"/>
    <w:rsid w:val="2D1136DF"/>
    <w:rsid w:val="2D20606D"/>
    <w:rsid w:val="2DB87198"/>
    <w:rsid w:val="2DB93C54"/>
    <w:rsid w:val="2E3D144C"/>
    <w:rsid w:val="2E891204"/>
    <w:rsid w:val="2F3F0A28"/>
    <w:rsid w:val="2F62585C"/>
    <w:rsid w:val="2FBF7029"/>
    <w:rsid w:val="2FD0187F"/>
    <w:rsid w:val="2FD27414"/>
    <w:rsid w:val="2FFE4BB0"/>
    <w:rsid w:val="300E7B60"/>
    <w:rsid w:val="300F6E18"/>
    <w:rsid w:val="30862F5F"/>
    <w:rsid w:val="314029C9"/>
    <w:rsid w:val="31C63837"/>
    <w:rsid w:val="31C82E39"/>
    <w:rsid w:val="32601BAD"/>
    <w:rsid w:val="329F6389"/>
    <w:rsid w:val="32E94E55"/>
    <w:rsid w:val="3389023A"/>
    <w:rsid w:val="33CB74FA"/>
    <w:rsid w:val="343642F2"/>
    <w:rsid w:val="343F3010"/>
    <w:rsid w:val="345D0A00"/>
    <w:rsid w:val="34713BFD"/>
    <w:rsid w:val="34C13589"/>
    <w:rsid w:val="353369E3"/>
    <w:rsid w:val="35A56236"/>
    <w:rsid w:val="35E00D72"/>
    <w:rsid w:val="367774C5"/>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280D7E"/>
    <w:rsid w:val="3A893816"/>
    <w:rsid w:val="3A893B6D"/>
    <w:rsid w:val="3AD1763A"/>
    <w:rsid w:val="3B6716E3"/>
    <w:rsid w:val="3B6C6B2D"/>
    <w:rsid w:val="3C242659"/>
    <w:rsid w:val="3C96719C"/>
    <w:rsid w:val="3CA72BE8"/>
    <w:rsid w:val="3CF37F8C"/>
    <w:rsid w:val="3D137554"/>
    <w:rsid w:val="3D5275AC"/>
    <w:rsid w:val="3DCC2473"/>
    <w:rsid w:val="3DEB0883"/>
    <w:rsid w:val="3E2527BF"/>
    <w:rsid w:val="3E6B1633"/>
    <w:rsid w:val="3E731662"/>
    <w:rsid w:val="3E8168DD"/>
    <w:rsid w:val="3EA7725F"/>
    <w:rsid w:val="3EB03713"/>
    <w:rsid w:val="3EBF1A11"/>
    <w:rsid w:val="3EC52607"/>
    <w:rsid w:val="3EEC6CEF"/>
    <w:rsid w:val="3F183429"/>
    <w:rsid w:val="3FB77A1D"/>
    <w:rsid w:val="3FDC3674"/>
    <w:rsid w:val="3FED7F8A"/>
    <w:rsid w:val="3FFA7ABB"/>
    <w:rsid w:val="40094AEF"/>
    <w:rsid w:val="405470BD"/>
    <w:rsid w:val="40794A29"/>
    <w:rsid w:val="40834692"/>
    <w:rsid w:val="412F6CF3"/>
    <w:rsid w:val="41431AD5"/>
    <w:rsid w:val="414B3C0F"/>
    <w:rsid w:val="41606DB9"/>
    <w:rsid w:val="417C1CE7"/>
    <w:rsid w:val="41900018"/>
    <w:rsid w:val="41944406"/>
    <w:rsid w:val="41B3641C"/>
    <w:rsid w:val="41CE128F"/>
    <w:rsid w:val="41DA6F12"/>
    <w:rsid w:val="42171FB1"/>
    <w:rsid w:val="434E6957"/>
    <w:rsid w:val="439D5647"/>
    <w:rsid w:val="43B13A21"/>
    <w:rsid w:val="43BA0E31"/>
    <w:rsid w:val="43C15147"/>
    <w:rsid w:val="43D10D39"/>
    <w:rsid w:val="43E14DD2"/>
    <w:rsid w:val="43F800E9"/>
    <w:rsid w:val="443A7E4B"/>
    <w:rsid w:val="452F5B3A"/>
    <w:rsid w:val="454E7FD2"/>
    <w:rsid w:val="46061BDC"/>
    <w:rsid w:val="46092F53"/>
    <w:rsid w:val="461404F8"/>
    <w:rsid w:val="46413018"/>
    <w:rsid w:val="464B7E04"/>
    <w:rsid w:val="46503168"/>
    <w:rsid w:val="468041AA"/>
    <w:rsid w:val="468123C6"/>
    <w:rsid w:val="46901EEE"/>
    <w:rsid w:val="469C74D2"/>
    <w:rsid w:val="47392CA0"/>
    <w:rsid w:val="47445515"/>
    <w:rsid w:val="474B4782"/>
    <w:rsid w:val="47D90D14"/>
    <w:rsid w:val="47F26DEB"/>
    <w:rsid w:val="48387FB0"/>
    <w:rsid w:val="483A6114"/>
    <w:rsid w:val="488727DB"/>
    <w:rsid w:val="48B82268"/>
    <w:rsid w:val="48C354B3"/>
    <w:rsid w:val="493D58B5"/>
    <w:rsid w:val="494A7A04"/>
    <w:rsid w:val="49655C0A"/>
    <w:rsid w:val="4A0A26D2"/>
    <w:rsid w:val="4A2019A5"/>
    <w:rsid w:val="4A241A0B"/>
    <w:rsid w:val="4A7B2875"/>
    <w:rsid w:val="4A934476"/>
    <w:rsid w:val="4AAA220A"/>
    <w:rsid w:val="4AE12E67"/>
    <w:rsid w:val="4B447D0D"/>
    <w:rsid w:val="4B4C0111"/>
    <w:rsid w:val="4B8553A9"/>
    <w:rsid w:val="4BDB3730"/>
    <w:rsid w:val="4C200F7A"/>
    <w:rsid w:val="4CA44D5C"/>
    <w:rsid w:val="4CC62F43"/>
    <w:rsid w:val="4CEE3180"/>
    <w:rsid w:val="4D0F4AF6"/>
    <w:rsid w:val="4D1B29E0"/>
    <w:rsid w:val="4D2F2FF9"/>
    <w:rsid w:val="4D50687B"/>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0010E"/>
    <w:rsid w:val="52F00B25"/>
    <w:rsid w:val="52F647F7"/>
    <w:rsid w:val="52F92565"/>
    <w:rsid w:val="53591FD4"/>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E822F5"/>
    <w:rsid w:val="5A60780B"/>
    <w:rsid w:val="5AB34579"/>
    <w:rsid w:val="5AB94344"/>
    <w:rsid w:val="5AFC6609"/>
    <w:rsid w:val="5B113480"/>
    <w:rsid w:val="5BD456CE"/>
    <w:rsid w:val="5C0D1F49"/>
    <w:rsid w:val="5CBB0CE2"/>
    <w:rsid w:val="5CC17177"/>
    <w:rsid w:val="5CF306BC"/>
    <w:rsid w:val="5D3F3D64"/>
    <w:rsid w:val="5D4963C2"/>
    <w:rsid w:val="5D833043"/>
    <w:rsid w:val="5DD92690"/>
    <w:rsid w:val="5DDB1CFD"/>
    <w:rsid w:val="5E7E6D93"/>
    <w:rsid w:val="5ED44800"/>
    <w:rsid w:val="5F350BDE"/>
    <w:rsid w:val="5F61632C"/>
    <w:rsid w:val="5FA17648"/>
    <w:rsid w:val="5FE705CB"/>
    <w:rsid w:val="603D5080"/>
    <w:rsid w:val="609F40EE"/>
    <w:rsid w:val="60D0261B"/>
    <w:rsid w:val="61446072"/>
    <w:rsid w:val="618E3791"/>
    <w:rsid w:val="61947DCA"/>
    <w:rsid w:val="61A46A97"/>
    <w:rsid w:val="61D1382F"/>
    <w:rsid w:val="61F114A2"/>
    <w:rsid w:val="61F521E1"/>
    <w:rsid w:val="62454C26"/>
    <w:rsid w:val="62512BB4"/>
    <w:rsid w:val="625D7D1A"/>
    <w:rsid w:val="629B4D3E"/>
    <w:rsid w:val="62DD7D21"/>
    <w:rsid w:val="63576530"/>
    <w:rsid w:val="637D586B"/>
    <w:rsid w:val="63A5560B"/>
    <w:rsid w:val="63E9091F"/>
    <w:rsid w:val="64322AF9"/>
    <w:rsid w:val="64A01811"/>
    <w:rsid w:val="64D6010D"/>
    <w:rsid w:val="64D82665"/>
    <w:rsid w:val="64E47C96"/>
    <w:rsid w:val="651E5741"/>
    <w:rsid w:val="6586701A"/>
    <w:rsid w:val="658A4877"/>
    <w:rsid w:val="65A00902"/>
    <w:rsid w:val="65AC6EDD"/>
    <w:rsid w:val="65D97752"/>
    <w:rsid w:val="66085536"/>
    <w:rsid w:val="66105BF7"/>
    <w:rsid w:val="66150023"/>
    <w:rsid w:val="661A0021"/>
    <w:rsid w:val="6628010D"/>
    <w:rsid w:val="669B4528"/>
    <w:rsid w:val="66CC12D7"/>
    <w:rsid w:val="67134CEF"/>
    <w:rsid w:val="671F1ABD"/>
    <w:rsid w:val="67521A59"/>
    <w:rsid w:val="675E7762"/>
    <w:rsid w:val="677556A3"/>
    <w:rsid w:val="67C304AB"/>
    <w:rsid w:val="683F0658"/>
    <w:rsid w:val="689C6793"/>
    <w:rsid w:val="68DB0208"/>
    <w:rsid w:val="68FB170C"/>
    <w:rsid w:val="6917533B"/>
    <w:rsid w:val="691B3D98"/>
    <w:rsid w:val="693748F0"/>
    <w:rsid w:val="69846A0E"/>
    <w:rsid w:val="69AA1366"/>
    <w:rsid w:val="69AD798C"/>
    <w:rsid w:val="69D005C0"/>
    <w:rsid w:val="69D80B96"/>
    <w:rsid w:val="6ACB575A"/>
    <w:rsid w:val="6B5C6BDE"/>
    <w:rsid w:val="6B68175F"/>
    <w:rsid w:val="6BFD799F"/>
    <w:rsid w:val="6C4A2E5A"/>
    <w:rsid w:val="6C8138D0"/>
    <w:rsid w:val="6CEF0725"/>
    <w:rsid w:val="6D4B2604"/>
    <w:rsid w:val="6D8030E4"/>
    <w:rsid w:val="6D8A28F4"/>
    <w:rsid w:val="6E0E35C4"/>
    <w:rsid w:val="6E0F7A08"/>
    <w:rsid w:val="6E3947F5"/>
    <w:rsid w:val="6E9C74ED"/>
    <w:rsid w:val="6EF72976"/>
    <w:rsid w:val="6F795A80"/>
    <w:rsid w:val="6F7C1D2E"/>
    <w:rsid w:val="6F8E0407"/>
    <w:rsid w:val="6FDD069F"/>
    <w:rsid w:val="702B4D16"/>
    <w:rsid w:val="70AA6621"/>
    <w:rsid w:val="70FA6739"/>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2158FA"/>
    <w:rsid w:val="753D048D"/>
    <w:rsid w:val="75722D56"/>
    <w:rsid w:val="75DB5477"/>
    <w:rsid w:val="75F633F6"/>
    <w:rsid w:val="75F714AD"/>
    <w:rsid w:val="75FC6AC3"/>
    <w:rsid w:val="7616619B"/>
    <w:rsid w:val="76660D7C"/>
    <w:rsid w:val="766C5968"/>
    <w:rsid w:val="76BA1A65"/>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4A467F"/>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5413</Words>
  <Characters>6095</Characters>
  <Lines>0</Lines>
  <Paragraphs>0</Paragraphs>
  <TotalTime>0</TotalTime>
  <ScaleCrop>false</ScaleCrop>
  <LinksUpToDate>false</LinksUpToDate>
  <CharactersWithSpaces>6105</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2025-04-08T04:30:18Z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FFAE1E872D0C4D6CAA8833165B9DE709_13</vt:lpwstr>
  </property>
  <property fmtid="{D5CDD505-2E9C-101B-9397-08002B2CF9AE}" pid="4" name="KSOTemplateDocerSaveRecord">
    <vt:lpwstr>eyJoZGlkIjoiOTBkM2UyYTEzZDM1MTJiZGUwYjAwMjlkMzQ2MDA1YTAiLCJ1c2VySWQiOiIxMTQ4MzU0NjEyIn0=</vt:lpwstr>
  </property>
</Properties>
</file>