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中共裕民县委政法委员会</w:t>
      </w: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决算公开说明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eastAsia="仿宋_GB2312"/>
          <w:color w:val="auto"/>
          <w:sz w:val="32"/>
          <w:szCs w:val="32"/>
          <w:highlight w:val="none"/>
        </w:rPr>
      </w:pPr>
      <w:bookmarkStart w:id="4" w:name="_Toc31238"/>
      <w:bookmarkStart w:id="5" w:name="_Toc2151"/>
      <w:r>
        <w:rPr>
          <w:rFonts w:hint="eastAsia" w:ascii="仿宋_GB2312" w:eastAsia="仿宋_GB2312"/>
          <w:sz w:val="32"/>
          <w:szCs w:val="32"/>
          <w:highlight w:val="none"/>
        </w:rPr>
        <w:t>中共裕民县委政法委员会主要职责：中共裕民县委政法委员会是县委领导管理政法工作的职能部门，一是根据中央的路线、方针、政策和县委的工作部署，统一政法各部门的思想和行动。二是协助党委研究制定政法工作的方针、政策，对一定时期内的政法工作</w:t>
      </w:r>
      <w:r>
        <w:rPr>
          <w:rFonts w:hint="eastAsia" w:ascii="仿宋_GB2312" w:eastAsia="仿宋_GB2312"/>
          <w:sz w:val="32"/>
          <w:szCs w:val="32"/>
          <w:highlight w:val="none"/>
          <w:lang w:eastAsia="zh-CN"/>
        </w:rPr>
        <w:t>做</w:t>
      </w:r>
      <w:r>
        <w:rPr>
          <w:rFonts w:hint="eastAsia" w:ascii="仿宋_GB2312" w:eastAsia="仿宋_GB2312"/>
          <w:sz w:val="32"/>
          <w:szCs w:val="32"/>
          <w:highlight w:val="none"/>
        </w:rPr>
        <w:t>出全局性部署，并督促贯彻落实；三是组织协调指导维护社会稳定工作，支持和监督政法各部门依法行使职权；四是督促、推动大要案的查处工作，研究和协调有争议的重大、疑难案件；五是组织推动社会治安综合治理和政法战线的调查研究工作，推动政法工作改革；六是研究</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指导政法队伍建设和政法各部门领导班子建设，指导地方政法委员会的工作；七是完成上级部门交办的其他任务。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lang w:val="en-US" w:eastAsia="zh-CN"/>
        </w:rPr>
        <w:t>中共裕民县委政法委员会</w:t>
      </w:r>
      <w:r>
        <w:rPr>
          <w:rFonts w:hint="eastAsia" w:ascii="仿宋_GB2312" w:eastAsia="仿宋_GB2312"/>
          <w:sz w:val="32"/>
          <w:szCs w:val="32"/>
          <w:highlight w:val="none"/>
          <w:lang w:eastAsia="zh-CN"/>
        </w:rPr>
        <w:t>2023年度，</w:t>
      </w:r>
      <w:r>
        <w:rPr>
          <w:rFonts w:hint="eastAsia" w:ascii="仿宋_GB2312" w:eastAsia="仿宋_GB2312"/>
          <w:sz w:val="32"/>
          <w:szCs w:val="32"/>
          <w:highlight w:val="none"/>
        </w:rPr>
        <w:t>实有人数</w:t>
      </w:r>
      <w:r>
        <w:rPr>
          <w:rFonts w:hint="eastAsia" w:ascii="仿宋_GB2312" w:eastAsia="仿宋_GB2312"/>
          <w:sz w:val="32"/>
          <w:szCs w:val="32"/>
          <w:highlight w:val="none"/>
          <w:lang w:val="zh-CN" w:eastAsia="zh-CN"/>
        </w:rPr>
        <w:t>23</w:t>
      </w:r>
      <w:r>
        <w:rPr>
          <w:rFonts w:hint="eastAsia" w:ascii="仿宋_GB2312" w:eastAsia="仿宋_GB2312"/>
          <w:sz w:val="32"/>
          <w:szCs w:val="32"/>
          <w:highlight w:val="none"/>
        </w:rPr>
        <w:t>人，其中：在职人员</w:t>
      </w:r>
      <w:r>
        <w:rPr>
          <w:rFonts w:hint="eastAsia" w:ascii="仿宋_GB2312" w:eastAsia="仿宋_GB2312"/>
          <w:sz w:val="32"/>
          <w:szCs w:val="32"/>
          <w:highlight w:val="none"/>
          <w:lang w:val="zh-CN" w:eastAsia="zh-CN"/>
        </w:rPr>
        <w:t>17</w:t>
      </w:r>
      <w:r>
        <w:rPr>
          <w:rFonts w:hint="eastAsia" w:ascii="仿宋_GB2312" w:eastAsia="仿宋_GB2312"/>
          <w:sz w:val="32"/>
          <w:szCs w:val="32"/>
          <w:highlight w:val="none"/>
        </w:rPr>
        <w:t>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离休人员</w:t>
      </w:r>
      <w:r>
        <w:rPr>
          <w:rFonts w:hint="eastAsia" w:ascii="仿宋_GB2312" w:eastAsia="仿宋_GB2312"/>
          <w:sz w:val="32"/>
          <w:szCs w:val="32"/>
          <w:highlight w:val="none"/>
          <w:lang w:val="zh-CN" w:eastAsia="zh-CN"/>
        </w:rPr>
        <w:t>0</w:t>
      </w:r>
      <w:r>
        <w:rPr>
          <w:rFonts w:hint="eastAsia" w:ascii="仿宋_GB2312" w:eastAsia="仿宋_GB2312"/>
          <w:sz w:val="32"/>
          <w:szCs w:val="32"/>
          <w:highlight w:val="none"/>
        </w:rPr>
        <w:t>人，退休人员</w:t>
      </w:r>
      <w:r>
        <w:rPr>
          <w:rFonts w:hint="eastAsia" w:ascii="仿宋_GB2312" w:eastAsia="仿宋_GB2312"/>
          <w:sz w:val="32"/>
          <w:szCs w:val="32"/>
          <w:highlight w:val="none"/>
          <w:lang w:val="zh-CN" w:eastAsia="zh-CN"/>
        </w:rPr>
        <w:t>6</w:t>
      </w:r>
      <w:r>
        <w:rPr>
          <w:rFonts w:hint="eastAsia" w:ascii="仿宋_GB2312" w:eastAsia="仿宋_GB2312"/>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eastAsia="仿宋_GB2312"/>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eastAsia="仿宋_GB2312"/>
          <w:sz w:val="32"/>
          <w:szCs w:val="32"/>
          <w:highlight w:val="none"/>
          <w:lang w:val="en-US" w:eastAsia="zh-CN"/>
        </w:rPr>
        <w:t>中共裕民县委政法委员会</w:t>
      </w:r>
      <w:r>
        <w:rPr>
          <w:rFonts w:hint="eastAsia" w:ascii="仿宋_GB2312" w:eastAsia="仿宋_GB2312"/>
          <w:sz w:val="32"/>
          <w:szCs w:val="32"/>
          <w:highlight w:val="none"/>
        </w:rPr>
        <w:t>无下属预算单位，下设</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个处室，分别是：中共裕民县委政法委员会、网格化服务管理中心、裕民县维稳指挥中心。</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eastAsia" w:ascii="仿宋_GB2312" w:eastAsia="仿宋_GB2312"/>
          <w:sz w:val="32"/>
          <w:szCs w:val="32"/>
          <w:highlight w:val="none"/>
          <w:lang w:eastAsia="zh-CN"/>
        </w:rPr>
      </w:pPr>
      <w:r>
        <w:rPr>
          <w:rFonts w:hint="eastAsia" w:ascii="仿宋_GB2312" w:eastAsia="仿宋_GB2312"/>
          <w:b/>
          <w:bCs/>
          <w:sz w:val="32"/>
          <w:szCs w:val="32"/>
          <w:highlight w:val="none"/>
          <w:lang w:eastAsia="zh-CN"/>
        </w:rPr>
        <w:t>2023年度</w:t>
      </w:r>
      <w:r>
        <w:rPr>
          <w:rFonts w:hint="eastAsia" w:ascii="仿宋_GB2312" w:eastAsia="仿宋_GB2312"/>
          <w:b/>
          <w:bCs/>
          <w:sz w:val="32"/>
          <w:szCs w:val="32"/>
          <w:highlight w:val="none"/>
          <w:lang w:val="en-US" w:eastAsia="zh-CN"/>
        </w:rPr>
        <w:t>收入总计</w:t>
      </w:r>
      <w:r>
        <w:rPr>
          <w:rFonts w:hint="eastAsia" w:ascii="仿宋_GB2312" w:eastAsia="仿宋_GB2312"/>
          <w:b/>
          <w:bCs/>
          <w:sz w:val="32"/>
          <w:szCs w:val="32"/>
          <w:highlight w:val="none"/>
          <w:lang w:eastAsia="zh-CN"/>
        </w:rPr>
        <w:t>5,272.22万元，</w:t>
      </w:r>
      <w:r>
        <w:rPr>
          <w:rFonts w:hint="eastAsia" w:ascii="仿宋_GB2312" w:eastAsia="仿宋_GB2312"/>
          <w:sz w:val="32"/>
          <w:szCs w:val="32"/>
          <w:highlight w:val="none"/>
          <w:lang w:val="en-US" w:eastAsia="zh-CN"/>
        </w:rPr>
        <w:t>其中：本年收入合计5,267.36万元，使用非财政拨款结余0.00万元，年初结转和结余4.86万元。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eastAsia" w:ascii="仿宋_GB2312" w:eastAsia="仿宋_GB2312"/>
          <w:sz w:val="32"/>
          <w:szCs w:val="32"/>
          <w:highlight w:val="none"/>
          <w:lang w:eastAsia="zh-CN"/>
        </w:rPr>
      </w:pPr>
      <w:r>
        <w:rPr>
          <w:rFonts w:hint="eastAsia" w:ascii="仿宋_GB2312" w:eastAsia="仿宋_GB2312"/>
          <w:b/>
          <w:bCs/>
          <w:sz w:val="32"/>
          <w:szCs w:val="32"/>
          <w:highlight w:val="none"/>
          <w:lang w:val="en-US" w:eastAsia="zh-CN"/>
        </w:rPr>
        <w:t>2023</w:t>
      </w:r>
      <w:r>
        <w:rPr>
          <w:rFonts w:hint="eastAsia" w:ascii="仿宋_GB2312" w:eastAsia="仿宋_GB2312"/>
          <w:b/>
          <w:bCs/>
          <w:sz w:val="32"/>
          <w:szCs w:val="32"/>
          <w:highlight w:val="none"/>
          <w:lang w:eastAsia="zh-CN"/>
        </w:rPr>
        <w:t>年</w:t>
      </w:r>
      <w:r>
        <w:rPr>
          <w:rFonts w:hint="eastAsia" w:ascii="仿宋_GB2312" w:eastAsia="仿宋_GB2312"/>
          <w:b/>
          <w:bCs/>
          <w:sz w:val="32"/>
          <w:szCs w:val="32"/>
          <w:highlight w:val="none"/>
          <w:lang w:val="en-US" w:eastAsia="zh-CN"/>
        </w:rPr>
        <w:t>度</w:t>
      </w:r>
      <w:r>
        <w:rPr>
          <w:rFonts w:hint="eastAsia" w:ascii="仿宋_GB2312" w:eastAsia="仿宋_GB2312"/>
          <w:b/>
          <w:bCs/>
          <w:sz w:val="32"/>
          <w:szCs w:val="32"/>
          <w:highlight w:val="none"/>
          <w:lang w:eastAsia="zh-CN"/>
        </w:rPr>
        <w:t>支出</w:t>
      </w:r>
      <w:r>
        <w:rPr>
          <w:rFonts w:hint="eastAsia" w:ascii="仿宋_GB2312" w:eastAsia="仿宋_GB2312"/>
          <w:b/>
          <w:bCs/>
          <w:sz w:val="32"/>
          <w:szCs w:val="32"/>
          <w:highlight w:val="none"/>
          <w:lang w:val="en-US" w:eastAsia="zh-CN"/>
        </w:rPr>
        <w:t>总计</w:t>
      </w:r>
      <w:r>
        <w:rPr>
          <w:rFonts w:hint="eastAsia" w:ascii="仿宋_GB2312" w:eastAsia="仿宋_GB2312"/>
          <w:b/>
          <w:bCs/>
          <w:sz w:val="32"/>
          <w:szCs w:val="32"/>
          <w:highlight w:val="none"/>
          <w:lang w:eastAsia="zh-CN"/>
        </w:rPr>
        <w:t>5,272.22万元，</w:t>
      </w:r>
      <w:r>
        <w:rPr>
          <w:rFonts w:hint="eastAsia" w:ascii="仿宋_GB2312" w:eastAsia="仿宋_GB2312"/>
          <w:sz w:val="32"/>
          <w:szCs w:val="32"/>
          <w:highlight w:val="none"/>
          <w:lang w:val="en-US" w:eastAsia="zh-CN"/>
        </w:rPr>
        <w:t>其中：本年支出合计</w:t>
      </w:r>
      <w:r>
        <w:rPr>
          <w:rFonts w:hint="eastAsia" w:ascii="仿宋_GB2312" w:eastAsia="仿宋_GB2312"/>
          <w:sz w:val="32"/>
          <w:szCs w:val="32"/>
          <w:highlight w:val="none"/>
          <w:lang w:eastAsia="zh-CN"/>
        </w:rPr>
        <w:t>5,271.86万元，</w:t>
      </w:r>
      <w:r>
        <w:rPr>
          <w:rFonts w:hint="eastAsia" w:ascii="仿宋_GB2312" w:eastAsia="仿宋_GB2312"/>
          <w:sz w:val="32"/>
          <w:szCs w:val="32"/>
          <w:highlight w:val="none"/>
          <w:lang w:val="en-US" w:eastAsia="zh-CN"/>
        </w:rPr>
        <w:t>结余分配</w:t>
      </w:r>
      <w:r>
        <w:rPr>
          <w:rFonts w:hint="eastAsia" w:ascii="仿宋_GB2312" w:eastAsia="仿宋_GB2312"/>
          <w:sz w:val="32"/>
          <w:szCs w:val="32"/>
          <w:highlight w:val="none"/>
          <w:lang w:eastAsia="zh-CN"/>
        </w:rPr>
        <w:t>0.00万元，年末结转和结余0.36万元。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eastAsia" w:ascii="仿宋_GB2312" w:eastAsia="仿宋_GB2312"/>
          <w:sz w:val="32"/>
          <w:szCs w:val="32"/>
          <w:highlight w:val="none"/>
          <w:lang w:eastAsia="zh-CN"/>
        </w:rPr>
      </w:pPr>
      <w:r>
        <w:rPr>
          <w:rFonts w:hint="eastAsia" w:ascii="仿宋_GB2312" w:eastAsia="仿宋_GB2312"/>
          <w:b/>
          <w:bCs/>
          <w:sz w:val="32"/>
          <w:szCs w:val="32"/>
          <w:highlight w:val="none"/>
          <w:lang w:val="en-US" w:eastAsia="zh-CN"/>
        </w:rPr>
        <w:t>收入支出总体与上年相比</w:t>
      </w:r>
      <w:r>
        <w:rPr>
          <w:rFonts w:hint="eastAsia" w:ascii="仿宋_GB2312" w:eastAsia="仿宋_GB2312"/>
          <w:b/>
          <w:bCs/>
          <w:sz w:val="32"/>
          <w:szCs w:val="32"/>
          <w:highlight w:val="none"/>
          <w:lang w:eastAsia="zh-CN"/>
        </w:rPr>
        <w:t>，</w:t>
      </w:r>
      <w:r>
        <w:rPr>
          <w:rFonts w:hint="eastAsia" w:ascii="仿宋_GB2312" w:eastAsia="仿宋_GB2312"/>
          <w:sz w:val="32"/>
          <w:szCs w:val="32"/>
          <w:highlight w:val="none"/>
          <w:lang w:val="zh-CN" w:eastAsia="zh-CN"/>
        </w:rPr>
        <w:t>增加4,359.20万元</w:t>
      </w:r>
      <w:r>
        <w:rPr>
          <w:rFonts w:hint="eastAsia" w:ascii="仿宋_GB2312" w:eastAsia="仿宋_GB2312"/>
          <w:sz w:val="32"/>
          <w:szCs w:val="32"/>
          <w:highlight w:val="none"/>
          <w:lang w:eastAsia="zh-CN"/>
        </w:rPr>
        <w:t>，增长477.45%，主要原因是：新增边境视频监控项目欠款和视联网运维服务费。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5,267.36</w:t>
      </w:r>
      <w:r>
        <w:rPr>
          <w:rFonts w:hint="eastAsia" w:ascii="仿宋_GB2312" w:eastAsia="仿宋_GB2312"/>
          <w:b/>
          <w:bCs/>
          <w:color w:val="auto"/>
          <w:sz w:val="32"/>
          <w:szCs w:val="32"/>
          <w:highlight w:val="none"/>
        </w:rPr>
        <w:t>万元，</w:t>
      </w:r>
      <w:r>
        <w:rPr>
          <w:rFonts w:hint="eastAsia" w:ascii="仿宋_GB2312" w:eastAsia="仿宋_GB2312"/>
          <w:sz w:val="32"/>
          <w:szCs w:val="32"/>
          <w:highlight w:val="none"/>
          <w:lang w:val="zh-CN" w:eastAsia="zh-CN"/>
        </w:rPr>
        <w:t>其中：财政拨款收入5,267.36万元，占100.00%；上级补助收入0.00万元，占0.00%；事业收入0.00万元，占0.00%；经营收入0.00万元，占0.00%；附属单位上缴收入0.00万元，占0.00%；其他收入0.00万元，占0.00%。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z w:val="30"/>
          <w:szCs w:val="30"/>
          <w:highlight w:val="none"/>
          <w:lang w:val="zh-CN" w:eastAsia="zh-CN"/>
        </w:rPr>
      </w:pPr>
      <w:r>
        <w:rPr>
          <w:rFonts w:hint="eastAsia" w:ascii="仿宋_GB2312" w:hAnsi="仿宋_GB2312" w:eastAsia="仿宋_GB2312" w:cs="仿宋_GB2312"/>
          <w:b/>
          <w:bCs/>
          <w:color w:val="auto"/>
          <w:sz w:val="32"/>
          <w:szCs w:val="32"/>
          <w:highlight w:val="none"/>
          <w:lang w:val="zh-CN" w:eastAsia="zh-CN"/>
        </w:rPr>
        <w:t>本年支出5,271.86万元，</w:t>
      </w:r>
      <w:r>
        <w:rPr>
          <w:rFonts w:hint="eastAsia" w:ascii="仿宋_GB2312" w:hAnsi="仿宋_GB2312" w:eastAsia="仿宋_GB2312" w:cs="仿宋_GB2312"/>
          <w:color w:val="auto"/>
          <w:sz w:val="32"/>
          <w:szCs w:val="32"/>
          <w:highlight w:val="none"/>
          <w:lang w:val="zh-CN" w:eastAsia="zh-CN"/>
        </w:rPr>
        <w:t>其中：基本支出391.52万元，占7.43%；项目支出4,880.33万元，占92.57%；上缴上级支出0.00万元，占0.00%；经营支出0.00万元，占0.00%；对附属单位补助支出0.00万元，占0.00%。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5,267.36</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5,267.36</w:t>
      </w:r>
      <w:r>
        <w:rPr>
          <w:rFonts w:hint="eastAsia" w:ascii="仿宋_GB2312" w:eastAsia="仿宋_GB2312"/>
          <w:color w:val="auto"/>
          <w:spacing w:val="0"/>
          <w:sz w:val="32"/>
          <w:szCs w:val="32"/>
          <w:highlight w:val="none"/>
          <w:lang w:eastAsia="zh-CN"/>
        </w:rPr>
        <w:t>万元。</w:t>
      </w:r>
      <w:r>
        <w:rPr>
          <w:rFonts w:hint="eastAsia" w:ascii="仿宋_GB2312" w:eastAsia="仿宋_GB2312"/>
          <w:b/>
          <w:bCs/>
          <w:color w:val="auto"/>
          <w:spacing w:val="0"/>
          <w:sz w:val="32"/>
          <w:szCs w:val="32"/>
          <w:highlight w:val="none"/>
          <w:lang w:eastAsia="zh-CN"/>
        </w:rPr>
        <w:t>财政拨款支出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5,267.36</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5,267.36</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b/>
          <w:bCs/>
          <w:color w:val="auto"/>
          <w:spacing w:val="0"/>
          <w:sz w:val="32"/>
          <w:szCs w:val="32"/>
          <w:highlight w:val="none"/>
          <w:lang w:val="zh-CN" w:eastAsia="zh-CN"/>
        </w:rPr>
        <w:t>增加4,763.0</w:t>
      </w:r>
      <w:r>
        <w:rPr>
          <w:rFonts w:hint="eastAsia" w:ascii="仿宋_GB2312" w:eastAsia="仿宋_GB2312"/>
          <w:b/>
          <w:bCs/>
          <w:color w:val="auto"/>
          <w:spacing w:val="0"/>
          <w:sz w:val="32"/>
          <w:szCs w:val="32"/>
          <w:highlight w:val="none"/>
          <w:lang w:val="en-US" w:eastAsia="zh-CN"/>
        </w:rPr>
        <w:t>3</w:t>
      </w:r>
      <w:r>
        <w:rPr>
          <w:rFonts w:hint="eastAsia" w:ascii="仿宋_GB2312" w:eastAsia="仿宋_GB2312"/>
          <w:b/>
          <w:bCs/>
          <w:color w:val="auto"/>
          <w:spacing w:val="0"/>
          <w:sz w:val="32"/>
          <w:szCs w:val="32"/>
          <w:highlight w:val="none"/>
          <w:lang w:val="zh-CN" w:eastAsia="zh-CN"/>
        </w:rPr>
        <w:t>万元</w:t>
      </w:r>
      <w:r>
        <w:rPr>
          <w:rFonts w:hint="eastAsia" w:ascii="仿宋_GB2312" w:eastAsia="仿宋_GB2312"/>
          <w:b/>
          <w:bCs/>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增长944.43%,</w:t>
      </w:r>
      <w:r>
        <w:rPr>
          <w:rFonts w:hint="eastAsia" w:ascii="仿宋_GB2312" w:eastAsia="仿宋_GB2312"/>
          <w:color w:val="auto"/>
          <w:spacing w:val="0"/>
          <w:sz w:val="32"/>
          <w:szCs w:val="32"/>
          <w:highlight w:val="none"/>
          <w:lang w:eastAsia="zh-CN"/>
        </w:rPr>
        <w:t>主要原因是：新增边境视频监控项目欠款和视联网运维服务费，造成收入支出增加。</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1,207.29</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5,267.36</w:t>
      </w:r>
      <w:r>
        <w:rPr>
          <w:rFonts w:hint="eastAsia" w:ascii="仿宋_GB2312" w:eastAsia="仿宋_GB2312"/>
          <w:color w:val="auto"/>
          <w:spacing w:val="0"/>
          <w:sz w:val="32"/>
          <w:szCs w:val="32"/>
          <w:highlight w:val="none"/>
          <w:lang w:eastAsia="zh-CN"/>
        </w:rPr>
        <w:t>万元，预决算差异率336.30%，主要原因是：新增边境视频监控项目欠款和视联网运维服务费。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2023年度一般公共预算财政拨款支出5,267.36万元，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99.91%</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增加4,763.0</w:t>
      </w:r>
      <w:r>
        <w:rPr>
          <w:rFonts w:hint="eastAsia" w:ascii="仿宋_GB2312" w:eastAsia="仿宋_GB2312"/>
          <w:color w:val="auto"/>
          <w:spacing w:val="0"/>
          <w:sz w:val="32"/>
          <w:szCs w:val="32"/>
          <w:highlight w:val="none"/>
          <w:lang w:val="en-US" w:eastAsia="zh-CN"/>
        </w:rPr>
        <w:t>3</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增长944.43%,</w:t>
      </w:r>
      <w:r>
        <w:rPr>
          <w:rFonts w:hint="eastAsia" w:ascii="仿宋_GB2312" w:eastAsia="仿宋_GB2312"/>
          <w:color w:val="auto"/>
          <w:spacing w:val="0"/>
          <w:sz w:val="32"/>
          <w:szCs w:val="32"/>
          <w:highlight w:val="none"/>
          <w:lang w:eastAsia="zh-CN"/>
        </w:rPr>
        <w:t>主要原因是：追加边境视频监控项目欠款和视联网运维服务费。</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1,207.29</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5,267.36</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336.30%</w:t>
      </w:r>
      <w:r>
        <w:rPr>
          <w:rFonts w:hint="eastAsia" w:ascii="仿宋_GB2312" w:eastAsia="仿宋_GB2312"/>
          <w:color w:val="auto"/>
          <w:spacing w:val="0"/>
          <w:sz w:val="32"/>
          <w:szCs w:val="32"/>
          <w:highlight w:val="none"/>
          <w:lang w:eastAsia="zh-CN"/>
        </w:rPr>
        <w:t>，主要原因是：追加边境视频监控项目欠款和视联网运维服务费。</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公共安全类支出（类）</w:t>
      </w:r>
      <w:r>
        <w:rPr>
          <w:rFonts w:hint="eastAsia" w:ascii="仿宋_GB2312" w:hAnsi="Times New Roman" w:eastAsia="仿宋_GB2312" w:cs="Times New Roman"/>
          <w:color w:val="auto"/>
          <w:spacing w:val="0"/>
          <w:kern w:val="2"/>
          <w:sz w:val="32"/>
          <w:szCs w:val="32"/>
          <w:highlight w:val="none"/>
          <w:lang w:val="zh-CN" w:eastAsia="zh-CN" w:bidi="ar-SA"/>
        </w:rPr>
        <w:t>5,205.20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98.82</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29.70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0.56</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12.77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0.24</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19.68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0.37</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1.公共安全支出（类）公安（款）其他公安支出（项）:支出决算数为</w:t>
      </w:r>
      <w:r>
        <w:rPr>
          <w:rFonts w:hint="eastAsia" w:eastAsia="仿宋_GB2312" w:cs="Times New Roman"/>
          <w:color w:val="auto"/>
          <w:kern w:val="2"/>
          <w:sz w:val="32"/>
          <w:szCs w:val="32"/>
          <w:highlight w:val="none"/>
          <w:lang w:val="en-US" w:eastAsia="zh-CN" w:bidi="ar-SA"/>
        </w:rPr>
        <w:t>4880.33万元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增加4774.42万元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增长4508.00</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color w:val="auto"/>
          <w:spacing w:val="0"/>
          <w:sz w:val="32"/>
          <w:szCs w:val="32"/>
          <w:highlight w:val="none"/>
          <w:lang w:eastAsia="zh-CN"/>
        </w:rPr>
        <w:t>追加边境视频监控项目欠款和视联网运维服务费</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2.卫生健康支出（类）行政事业单位医疗（款）行政单位医疗（项）:支出决算数为10.70万元，比上年决算增加0.91万元，增长9.30%，主要原因是：</w:t>
      </w:r>
      <w:r>
        <w:rPr>
          <w:rFonts w:hint="eastAsia" w:eastAsia="仿宋_GB2312" w:cs="Times New Roman"/>
          <w:color w:val="auto"/>
          <w:kern w:val="2"/>
          <w:sz w:val="32"/>
          <w:szCs w:val="32"/>
          <w:highlight w:val="none"/>
          <w:lang w:val="en-US" w:eastAsia="zh-CN" w:bidi="ar-SA"/>
        </w:rPr>
        <w:t>2023年在职人数增加4人，医保基数增加，支出增加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3.公共安全支出（类）公安（款）行政运行（项）:支出决算数为324.87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减少20.1万元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下降5.82%</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color w:val="auto"/>
          <w:spacing w:val="0"/>
          <w:sz w:val="32"/>
          <w:szCs w:val="32"/>
          <w:highlight w:val="none"/>
          <w:lang w:eastAsia="zh-CN"/>
        </w:rPr>
        <w:t>在职人员减少，工资福利和办公经费支出减少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4.社会保障和就业支出（类）行政事业单位养老支出（款）行政单位离退休（项）:支出决算数为4.18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减少4.69万元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下降52.87</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zh-CN" w:eastAsia="zh-CN" w:bidi="ar-SA"/>
        </w:rPr>
        <w:t>退休人员医疗保险费不再从单位支出，决算支出减少</w:t>
      </w:r>
      <w:bookmarkStart w:id="48" w:name="_GoBack"/>
      <w:bookmarkEnd w:id="48"/>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5.社会保障和就业支出（类）行政事业单位养老支出（款）机关事业单位基本养老保险缴费支出（项）:支出决算数为25.52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增加7.28万元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增长39.91</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在职人员增加4人，养老保险基数增加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6.卫生健康支出（类）行政事业单位医疗（款）公务员医疗补助（项）:支出决算数为2.07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增加0.45万元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增长27.78</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zh-CN" w:eastAsia="zh-CN" w:bidi="ar-SA"/>
        </w:rPr>
        <w:t>在职人员新增</w:t>
      </w:r>
      <w:r>
        <w:rPr>
          <w:rFonts w:hint="eastAsia" w:eastAsia="仿宋_GB2312" w:cs="Times New Roman"/>
          <w:color w:val="auto"/>
          <w:kern w:val="2"/>
          <w:sz w:val="32"/>
          <w:szCs w:val="32"/>
          <w:highlight w:val="none"/>
          <w:lang w:val="en-US" w:eastAsia="zh-CN" w:bidi="ar-SA"/>
        </w:rPr>
        <w:t>4人，公务员医疗补助基数增加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7.住房保障支出（类）住房改革支出（款）住房公积金（项）:支出决算数为19.68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增加4.76万元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增长31.9</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zh-CN" w:eastAsia="zh-CN" w:bidi="ar-SA"/>
        </w:rPr>
        <w:t>在职人员新增</w:t>
      </w:r>
      <w:r>
        <w:rPr>
          <w:rFonts w:hint="eastAsia" w:eastAsia="仿宋_GB2312" w:cs="Times New Roman"/>
          <w:color w:val="auto"/>
          <w:kern w:val="2"/>
          <w:sz w:val="32"/>
          <w:szCs w:val="32"/>
          <w:highlight w:val="none"/>
          <w:lang w:val="en-US" w:eastAsia="zh-CN" w:bidi="ar-SA"/>
        </w:rPr>
        <w:t>4人，住房公积金基数增加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387.02</w:t>
      </w:r>
      <w:r>
        <w:rPr>
          <w:rFonts w:hint="eastAsia" w:ascii="仿宋_GB2312" w:eastAsia="仿宋_GB2312"/>
          <w:color w:val="auto"/>
          <w:sz w:val="32"/>
          <w:szCs w:val="32"/>
          <w:highlight w:val="none"/>
        </w:rPr>
        <w:t>万元，</w:t>
      </w:r>
      <w:r>
        <w:rPr>
          <w:rFonts w:hint="eastAsia" w:ascii="仿宋_GB2312" w:eastAsia="仿宋_GB2312"/>
          <w:b w:val="0"/>
          <w:bCs w:val="0"/>
          <w:color w:val="auto"/>
          <w:sz w:val="32"/>
          <w:szCs w:val="32"/>
          <w:highlight w:val="none"/>
        </w:rPr>
        <w:t>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376.12</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基本工资、津贴补贴、奖金、绩效工资、机关事业单位基本养老保险缴费、职工基本医疗保险缴费、公务员医疗补助缴费、其他社会保障缴费、住房公积金、其他工资福利支出、退休费、医疗费补助。</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z w:val="32"/>
          <w:szCs w:val="32"/>
          <w:highlight w:val="red"/>
          <w:lang w:val="en-US" w:eastAsia="zh-CN"/>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10.90</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办公费、邮电费、取暖费、工会经费、公务用车运行维护费、其他商品和服务支出</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2023年度财政拨款“三公”经费支出0.34万元</w:t>
      </w:r>
      <w:r>
        <w:rPr>
          <w:rFonts w:hint="eastAsia" w:ascii="仿宋_GB2312" w:eastAsia="仿宋_GB2312"/>
          <w:b w:val="0"/>
          <w:bCs w:val="0"/>
          <w:color w:val="auto"/>
          <w:sz w:val="32"/>
          <w:szCs w:val="32"/>
          <w:highlight w:val="none"/>
          <w:lang w:val="zh-CN" w:eastAsia="zh-CN"/>
        </w:rPr>
        <w:t>，比上年减少2.16万元，下降86.40%</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主要原因是：公务用车辆减少一辆，公务用车运行维护费减少。其中：因公出国（境）费支出0.00万元，占0.00%，比上年增加0.00万元，</w:t>
      </w:r>
      <w:r>
        <w:rPr>
          <w:rFonts w:hint="eastAsia" w:ascii="仿宋_GB2312" w:eastAsia="仿宋_GB2312"/>
          <w:color w:val="auto"/>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主要原因是：我单位无因公出国（境）费支出；公务用车购置及运行维护费支出0.34万元，占100.00%，比上年减少2.16万元，下降86.40%</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主要原因是：公务用车辆减少一辆，公务用车运行维护费减少；公务接待费支出0.00万元，占0.00%，比上年增加0.00万元，</w:t>
      </w:r>
      <w:r>
        <w:rPr>
          <w:rFonts w:hint="eastAsia" w:ascii="仿宋_GB2312" w:eastAsia="仿宋_GB2312"/>
          <w:color w:val="auto"/>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主要原因是：我单位无公务接待费支出。</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bCs/>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因公出国（境）费支出0.00万元，开支内容包括无此项开支内容。单位全年安排的因公出国（境）团组0个，因公出国（境）0人次。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0.34万元，其中：公务用车购置费0.00万元，公务用车运行维护费0.34万元。公务用车运行维护费开支内容包括车辆保险费。公务用车购置数0辆，公务用车保有量2辆。国有资产占用情况中固定资产车辆11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原因是：资产系统中其余</w:t>
      </w:r>
      <w:r>
        <w:rPr>
          <w:rFonts w:hint="eastAsia" w:ascii="仿宋_GB2312" w:eastAsia="仿宋_GB2312"/>
          <w:color w:val="auto"/>
          <w:sz w:val="32"/>
          <w:szCs w:val="32"/>
          <w:highlight w:val="none"/>
          <w:lang w:val="en-US" w:eastAsia="zh-CN"/>
        </w:rPr>
        <w:t>9辆车为其他执勤用车不属于公务用车，差异车辆支出边防用车由边防办负责车辆经费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公务接待费0.00万元，开支内容包括我单位无公务接待费开支。单位全年安排的国内公务接待0批次，0人次。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val="0"/>
          <w:bCs w:val="0"/>
          <w:color w:val="auto"/>
          <w:sz w:val="32"/>
          <w:szCs w:val="32"/>
          <w:highlight w:val="none"/>
          <w:lang w:val="zh-CN" w:eastAsia="zh-CN"/>
        </w:rPr>
        <w:t>与全年预算相比,财政拨款“三公”经费支出全年预算数4.00万元，决算数0.34万元，预决算差异率-91.50%</w:t>
      </w:r>
      <w:r>
        <w:rPr>
          <w:rFonts w:hint="eastAsia" w:ascii="仿宋_GB2312" w:eastAsia="仿宋_GB2312"/>
          <w:color w:val="auto"/>
          <w:sz w:val="32"/>
          <w:szCs w:val="32"/>
          <w:highlight w:val="none"/>
          <w:lang w:val="zh-CN" w:eastAsia="zh-CN"/>
        </w:rPr>
        <w:t>，主要原因是：本年车辆运维服务费使用减少。其中：因公出国（境）费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0.00万元，决算数0.00万元，预决算差异率0.00%，主要原因是：我单位无因公出国（境）费；公务用车购置费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预算数0.00万元，决算数0.00万元，预决算差异率0.00%，主要原因是：我单位无公务用车购置费支出；公务用车运行费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预算数4.00万元，决算数0.34万元，预决算差异率91.</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lang w:val="zh-CN" w:eastAsia="zh-CN"/>
        </w:rPr>
        <w:t>%，主要原因是：本年车辆运维服务费使用减少；公务接待费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预算数0.00万元，决算数0.00万元，预决算差异率0.00%，主要原因是：我单位无公务接待费支出。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bookmarkStart w:id="24" w:name="_Toc26704"/>
      <w:bookmarkStart w:id="25" w:name="_Toc227"/>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中共裕民县委政法委员会（行政单位和参照公务员法管理事业单位）机关运行经费支出10.90万元，</w:t>
      </w:r>
      <w:r>
        <w:rPr>
          <w:rFonts w:hint="eastAsia" w:ascii="仿宋_GB2312" w:eastAsia="仿宋_GB2312"/>
          <w:color w:val="auto"/>
          <w:sz w:val="32"/>
          <w:szCs w:val="32"/>
          <w:highlight w:val="none"/>
          <w:lang w:val="zh-CN" w:eastAsia="zh-CN"/>
        </w:rPr>
        <w:t>比上年减少124.49万元，下降91.95%，主要原因是：上年有</w:t>
      </w:r>
      <w:r>
        <w:rPr>
          <w:rFonts w:hint="eastAsia" w:ascii="仿宋_GB2312" w:eastAsia="仿宋_GB2312"/>
          <w:color w:val="auto"/>
          <w:sz w:val="32"/>
          <w:szCs w:val="32"/>
          <w:highlight w:val="none"/>
          <w:lang w:val="en-US" w:eastAsia="zh-CN"/>
        </w:rPr>
        <w:t>大型设备购置费，本年无大型设备购置费。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2023年度政府采购支出总额0.81万元，其中：政府采购货物支出0.62万元、政府采购工程支出0.00万元、政府采购服务支出0.19万元。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授予中小企业合同金额0.81万元，占政府采购支出总额的100.00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zh-CN" w:eastAsia="zh-CN"/>
        </w:rPr>
        <w:t>，其中：授予小微企业合同金额0.81万元，占政府采购支出总额的100.00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截至2023</w:t>
      </w:r>
      <w:r>
        <w:rPr>
          <w:rFonts w:hint="eastAsia" w:ascii="仿宋_GB2312" w:eastAsia="仿宋_GB2312"/>
          <w:color w:val="auto"/>
          <w:sz w:val="32"/>
          <w:szCs w:val="32"/>
          <w:highlight w:val="none"/>
          <w:lang w:val="zh-CN" w:eastAsia="zh-CN"/>
        </w:rPr>
        <w:t>年</w:t>
      </w:r>
      <w:r>
        <w:rPr>
          <w:rFonts w:hint="eastAsia" w:ascii="仿宋_GB2312" w:eastAsia="仿宋_GB2312"/>
          <w:color w:val="auto"/>
          <w:sz w:val="32"/>
          <w:szCs w:val="32"/>
          <w:highlight w:val="none"/>
          <w:lang w:val="en-US" w:eastAsia="zh-CN"/>
        </w:rPr>
        <w:t>12月31日</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固定资产原值</w:t>
      </w:r>
      <w:r>
        <w:rPr>
          <w:rFonts w:hint="eastAsia" w:ascii="仿宋_GB2312" w:eastAsia="仿宋_GB2312"/>
          <w:color w:val="auto"/>
          <w:sz w:val="32"/>
          <w:szCs w:val="32"/>
          <w:highlight w:val="none"/>
          <w:lang w:val="zh-CN" w:eastAsia="zh-CN"/>
        </w:rPr>
        <w:t>869.80</w:t>
      </w:r>
      <w:r>
        <w:rPr>
          <w:rFonts w:hint="eastAsia" w:ascii="仿宋_GB2312" w:eastAsia="仿宋_GB2312"/>
          <w:color w:val="auto"/>
          <w:sz w:val="32"/>
          <w:szCs w:val="32"/>
          <w:highlight w:val="none"/>
          <w:lang w:val="en-US" w:eastAsia="zh-CN"/>
        </w:rPr>
        <w:t>万元，房</w:t>
      </w:r>
      <w:r>
        <w:rPr>
          <w:rFonts w:hint="eastAsia" w:ascii="仿宋_GB2312" w:eastAsia="仿宋_GB2312"/>
          <w:color w:val="auto"/>
          <w:sz w:val="32"/>
          <w:szCs w:val="32"/>
          <w:highlight w:val="none"/>
          <w:lang w:val="zh-CN" w:eastAsia="zh-CN"/>
        </w:rPr>
        <w:t>屋0.00平方米，价值0.00万元。车辆11辆，价值105.21万元，其中：副部（省）级及以上领导用车0辆、主要</w:t>
      </w:r>
      <w:r>
        <w:rPr>
          <w:rFonts w:hint="eastAsia" w:ascii="仿宋_GB2312" w:eastAsia="仿宋_GB2312"/>
          <w:color w:val="auto"/>
          <w:sz w:val="32"/>
          <w:szCs w:val="32"/>
          <w:highlight w:val="none"/>
          <w:lang w:val="en-US" w:eastAsia="zh-CN"/>
        </w:rPr>
        <w:t>负责人</w:t>
      </w:r>
      <w:r>
        <w:rPr>
          <w:rFonts w:hint="eastAsia" w:ascii="仿宋_GB2312" w:eastAsia="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eastAsia="仿宋_GB2312"/>
          <w:color w:val="auto"/>
          <w:sz w:val="32"/>
          <w:szCs w:val="32"/>
          <w:highlight w:val="none"/>
          <w:lang w:val="en-US" w:eastAsia="zh-CN"/>
        </w:rPr>
        <w:t>服务</w:t>
      </w:r>
      <w:r>
        <w:rPr>
          <w:rFonts w:hint="eastAsia" w:ascii="仿宋_GB2312" w:eastAsia="仿宋_GB2312"/>
          <w:color w:val="auto"/>
          <w:sz w:val="32"/>
          <w:szCs w:val="32"/>
          <w:highlight w:val="none"/>
          <w:lang w:val="zh-CN" w:eastAsia="zh-CN"/>
        </w:rPr>
        <w:t>用车0辆、其他用车11辆，其他用车主要是：</w:t>
      </w:r>
      <w:r>
        <w:rPr>
          <w:rFonts w:hint="eastAsia" w:ascii="仿宋_GB2312" w:eastAsia="仿宋_GB2312"/>
          <w:color w:val="auto"/>
          <w:sz w:val="32"/>
          <w:szCs w:val="32"/>
          <w:highlight w:val="none"/>
          <w:lang w:val="en-US" w:eastAsia="zh-CN"/>
        </w:rPr>
        <w:t>10辆用于边境巡逻车辆，1辆用公务用车</w:t>
      </w:r>
      <w:r>
        <w:rPr>
          <w:rFonts w:hint="eastAsia" w:ascii="仿宋_GB2312" w:eastAsia="仿宋_GB2312"/>
          <w:color w:val="auto"/>
          <w:sz w:val="32"/>
          <w:szCs w:val="32"/>
          <w:highlight w:val="none"/>
          <w:lang w:val="zh-CN" w:eastAsia="zh-CN"/>
        </w:rPr>
        <w:t>；单价100万元（含）以上设备（不含车辆）0</w:t>
      </w:r>
      <w:r>
        <w:rPr>
          <w:rFonts w:hint="eastAsia" w:ascii="仿宋_GB2312" w:eastAsia="仿宋_GB2312"/>
          <w:color w:val="auto"/>
          <w:sz w:val="32"/>
          <w:szCs w:val="32"/>
          <w:highlight w:val="none"/>
          <w:lang w:val="en-US" w:eastAsia="zh-CN"/>
        </w:rPr>
        <w:t>台</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预算总额5272.22</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实际执行总额5271.86</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sz w:val="32"/>
          <w:szCs w:val="32"/>
          <w:highlight w:val="none"/>
          <w:lang w:val="en-US" w:eastAsia="zh-CN"/>
        </w:rPr>
        <w:t>sm</w:t>
      </w:r>
      <w:r>
        <w:rPr>
          <w:rFonts w:hint="eastAsia" w:ascii="仿宋_GB2312" w:eastAsia="仿宋_GB2312"/>
          <w:color w:val="auto"/>
          <w:sz w:val="32"/>
          <w:szCs w:val="32"/>
          <w:highlight w:val="none"/>
          <w:lang w:eastAsia="zh-CN"/>
        </w:rPr>
        <w:t>项目</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全年预算数4880.33</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全年执行数4880.33</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。预算绩效管理取得的成效：一是</w:t>
      </w:r>
      <w:r>
        <w:rPr>
          <w:rFonts w:hint="eastAsia" w:ascii="仿宋_GB2312" w:hAnsi="仿宋_GB2312" w:eastAsia="仿宋_GB2312" w:cs="仿宋_GB2312"/>
          <w:sz w:val="32"/>
          <w:szCs w:val="32"/>
          <w:highlight w:val="none"/>
          <w:lang w:eastAsia="zh-CN"/>
        </w:rPr>
        <w:t>各部门</w:t>
      </w:r>
      <w:r>
        <w:rPr>
          <w:rFonts w:hint="eastAsia" w:ascii="仿宋_GB2312" w:hAnsi="仿宋_GB2312" w:eastAsia="仿宋_GB2312" w:cs="仿宋_GB2312"/>
          <w:sz w:val="32"/>
          <w:szCs w:val="32"/>
          <w:highlight w:val="none"/>
          <w:lang w:val="en-US" w:eastAsia="zh-CN"/>
        </w:rPr>
        <w:t>在其职权范围内，明确项目职责分工和成本控制要求，</w:t>
      </w:r>
      <w:r>
        <w:rPr>
          <w:rFonts w:hint="eastAsia" w:ascii="仿宋_GB2312" w:hAnsi="仿宋_GB2312" w:eastAsia="仿宋_GB2312" w:cs="仿宋_GB2312"/>
          <w:sz w:val="32"/>
          <w:szCs w:val="32"/>
          <w:highlight w:val="none"/>
        </w:rPr>
        <w:t>强化责任意识，</w:t>
      </w:r>
      <w:r>
        <w:rPr>
          <w:rFonts w:hint="eastAsia" w:ascii="仿宋_GB2312" w:hAnsi="仿宋_GB2312" w:eastAsia="仿宋_GB2312" w:cs="仿宋_GB2312"/>
          <w:sz w:val="32"/>
          <w:szCs w:val="32"/>
          <w:highlight w:val="none"/>
          <w:lang w:val="en-US" w:eastAsia="zh-CN"/>
        </w:rPr>
        <w:t>对各种影响成本的因素和条件采取的一系列预防和调节措施，科学地组织实施成本控制，</w:t>
      </w:r>
      <w:r>
        <w:rPr>
          <w:rFonts w:hint="eastAsia" w:ascii="仿宋_GB2312" w:hAnsi="仿宋_GB2312" w:eastAsia="仿宋_GB2312" w:cs="仿宋_GB2312"/>
          <w:sz w:val="32"/>
          <w:szCs w:val="32"/>
          <w:highlight w:val="none"/>
        </w:rPr>
        <w:t>确保项目的使用资金均控制在预算范围内</w:t>
      </w:r>
      <w:r>
        <w:rPr>
          <w:rFonts w:hint="eastAsia" w:ascii="仿宋_GB2312" w:eastAsia="仿宋_GB2312"/>
          <w:color w:val="auto"/>
          <w:sz w:val="32"/>
          <w:szCs w:val="32"/>
          <w:highlight w:val="none"/>
          <w:lang w:eastAsia="zh-CN"/>
        </w:rPr>
        <w:t>；二是</w:t>
      </w:r>
      <w:r>
        <w:rPr>
          <w:rFonts w:hint="eastAsia" w:ascii="仿宋_GB2312" w:hAnsi="仿宋_GB2312" w:eastAsia="仿宋_GB2312" w:cs="仿宋_GB2312"/>
          <w:sz w:val="32"/>
          <w:szCs w:val="32"/>
          <w:highlight w:val="none"/>
          <w:lang w:eastAsia="zh-CN"/>
        </w:rPr>
        <w:t>是</w:t>
      </w:r>
      <w:r>
        <w:rPr>
          <w:rFonts w:hint="eastAsia" w:ascii="仿宋_GB2312" w:hAnsi="仿宋_GB2312" w:eastAsia="仿宋_GB2312" w:cs="仿宋_GB2312"/>
          <w:sz w:val="32"/>
          <w:szCs w:val="32"/>
          <w:highlight w:val="none"/>
          <w:lang w:val="en-US" w:eastAsia="zh-CN"/>
        </w:rPr>
        <w:t>预算安排的基本支出，保障了正常的工作运转，预算安排的项目支出，在执行上严格遵守各项财政纪律的，目标执行无偏差，在财政业务科室监督下不存在支付违规资金及违规申请支付资金等情况</w:t>
      </w:r>
      <w:r>
        <w:rPr>
          <w:rFonts w:hint="eastAsia" w:ascii="仿宋_GB2312" w:eastAsia="仿宋_GB2312"/>
          <w:color w:val="auto"/>
          <w:sz w:val="32"/>
          <w:szCs w:val="32"/>
          <w:highlight w:val="none"/>
          <w:lang w:eastAsia="zh-CN"/>
        </w:rPr>
        <w:t>。发现的问题及原因：一是</w:t>
      </w:r>
      <w:r>
        <w:rPr>
          <w:rFonts w:hint="eastAsia" w:ascii="仿宋_GB2312" w:hAnsi="仿宋_GB2312" w:eastAsia="仿宋_GB2312" w:cs="仿宋_GB2312"/>
          <w:sz w:val="32"/>
          <w:szCs w:val="32"/>
          <w:highlight w:val="none"/>
          <w:lang w:eastAsia="zh-CN"/>
        </w:rPr>
        <w:t>分涉及政府采购事项，未能在做预算时设定政府采购金额，后期支付需调整指标</w:t>
      </w:r>
      <w:r>
        <w:rPr>
          <w:rFonts w:hint="eastAsia" w:ascii="仿宋_GB2312" w:eastAsia="仿宋_GB2312"/>
          <w:color w:val="auto"/>
          <w:sz w:val="32"/>
          <w:szCs w:val="32"/>
          <w:highlight w:val="none"/>
          <w:lang w:eastAsia="zh-CN"/>
        </w:rPr>
        <w:t>；二是</w:t>
      </w:r>
      <w:r>
        <w:rPr>
          <w:rFonts w:hint="eastAsia" w:ascii="仿宋_GB2312" w:hAnsi="仿宋_GB2312" w:eastAsia="仿宋_GB2312" w:cs="仿宋_GB2312"/>
          <w:sz w:val="32"/>
          <w:szCs w:val="32"/>
          <w:highlight w:val="none"/>
          <w:lang w:eastAsia="zh-CN"/>
        </w:rPr>
        <w:t>财政年初未做项目预算，实际会产生项目预算</w:t>
      </w:r>
      <w:r>
        <w:rPr>
          <w:rFonts w:hint="eastAsia" w:ascii="仿宋_GB2312" w:eastAsia="仿宋_GB2312"/>
          <w:color w:val="auto"/>
          <w:sz w:val="32"/>
          <w:szCs w:val="32"/>
          <w:highlight w:val="none"/>
          <w:lang w:eastAsia="zh-CN"/>
        </w:rPr>
        <w:t>。下一步改进措施：一是</w:t>
      </w:r>
      <w:r>
        <w:rPr>
          <w:rFonts w:hint="eastAsia" w:ascii="仿宋_GB2312" w:hAnsi="仿宋_GB2312" w:eastAsia="仿宋_GB2312" w:cs="仿宋_GB2312"/>
          <w:color w:val="000000"/>
          <w:sz w:val="32"/>
          <w:szCs w:val="32"/>
          <w:highlight w:val="none"/>
        </w:rPr>
        <w:t>高度重视财政预决算工作，加强预算的约束力</w:t>
      </w:r>
      <w:r>
        <w:rPr>
          <w:rFonts w:hint="eastAsia" w:ascii="仿宋_GB2312" w:eastAsia="仿宋_GB2312"/>
          <w:color w:val="auto"/>
          <w:sz w:val="32"/>
          <w:szCs w:val="32"/>
          <w:highlight w:val="none"/>
          <w:lang w:eastAsia="zh-CN"/>
        </w:rPr>
        <w:t>；二是</w:t>
      </w:r>
      <w:r>
        <w:rPr>
          <w:rFonts w:hint="eastAsia" w:ascii="仿宋_GB2312" w:hAnsi="仿宋_GB2312" w:eastAsia="仿宋_GB2312" w:cs="仿宋_GB2312"/>
          <w:color w:val="000000"/>
          <w:sz w:val="32"/>
          <w:szCs w:val="32"/>
          <w:highlight w:val="none"/>
        </w:rPr>
        <w:t>加强内部管理，严格执行预算，坚持厉行节约，进一步降低财务支出</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仿宋_GB2312" w:eastAsia="仿宋_GB2312" w:cs="仿宋_GB2312"/>
          <w:b w:val="0"/>
          <w:bCs w:val="0"/>
          <w:color w:val="auto"/>
          <w:kern w:val="0"/>
          <w:sz w:val="32"/>
          <w:szCs w:val="32"/>
          <w:highlight w:val="none"/>
          <w:lang w:val="en-US" w:eastAsia="zh-CN"/>
        </w:rPr>
      </w:pPr>
      <w:bookmarkStart w:id="30" w:name="_Toc3250"/>
      <w:bookmarkStart w:id="31" w:name="_Toc24143"/>
      <w:r>
        <w:rPr>
          <w:rFonts w:hint="eastAsia" w:ascii="仿宋_GB2312" w:hAnsi="仿宋_GB2312" w:eastAsia="仿宋_GB2312" w:cs="仿宋_GB2312"/>
          <w:b w:val="0"/>
          <w:bCs w:val="0"/>
          <w:color w:val="auto"/>
          <w:kern w:val="0"/>
          <w:sz w:val="32"/>
          <w:szCs w:val="32"/>
          <w:highlight w:val="none"/>
          <w:lang w:val="en-US" w:eastAsia="zh-CN"/>
        </w:rPr>
        <w:t>本年度安排sm涉及资金</w:t>
      </w:r>
      <w:r>
        <w:rPr>
          <w:rFonts w:hint="eastAsia" w:ascii="仿宋_GB2312" w:eastAsia="仿宋_GB2312"/>
          <w:b w:val="0"/>
          <w:bCs w:val="0"/>
          <w:color w:val="auto"/>
          <w:sz w:val="32"/>
          <w:szCs w:val="32"/>
          <w:highlight w:val="none"/>
          <w:lang w:val="en-US" w:eastAsia="zh-CN"/>
        </w:rPr>
        <w:t>4880.33</w:t>
      </w:r>
      <w:r>
        <w:rPr>
          <w:rFonts w:hint="eastAsia" w:ascii="仿宋_GB2312" w:hAnsi="仿宋_GB2312" w:eastAsia="仿宋_GB2312" w:cs="仿宋_GB2312"/>
          <w:b w:val="0"/>
          <w:bCs w:val="0"/>
          <w:color w:val="auto"/>
          <w:kern w:val="0"/>
          <w:sz w:val="32"/>
          <w:szCs w:val="32"/>
          <w:highlight w:val="none"/>
          <w:lang w:val="en-US" w:eastAsia="zh-CN"/>
        </w:rPr>
        <w:t>万元，项目绩效自评表不予公开。</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wODYyMzNjNjI1NDgwNGQ0MWQxNDJjNGJiOTMxMTkifQ=="/>
    <w:docVar w:name="KSO_WPS_MARK_KEY" w:val="41ee2a61-2d54-4f93-83be-afdb9a40d732"/>
  </w:docVars>
  <w:rsids>
    <w:rsidRoot w:val="00000000"/>
    <w:rsid w:val="00213C59"/>
    <w:rsid w:val="003210CE"/>
    <w:rsid w:val="00B70D59"/>
    <w:rsid w:val="00F52A8D"/>
    <w:rsid w:val="019404F8"/>
    <w:rsid w:val="01ED22F2"/>
    <w:rsid w:val="02093B6A"/>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3E0ED7"/>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1976FC"/>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7A8312A"/>
    <w:rsid w:val="180059E9"/>
    <w:rsid w:val="184510FD"/>
    <w:rsid w:val="190648B0"/>
    <w:rsid w:val="19071D6C"/>
    <w:rsid w:val="19D26CD4"/>
    <w:rsid w:val="19E60D19"/>
    <w:rsid w:val="1A3E3450"/>
    <w:rsid w:val="1A480644"/>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C17DB1"/>
    <w:rsid w:val="20DC1AB9"/>
    <w:rsid w:val="20DD6197"/>
    <w:rsid w:val="212631E0"/>
    <w:rsid w:val="21A53757"/>
    <w:rsid w:val="221236C6"/>
    <w:rsid w:val="22A631B8"/>
    <w:rsid w:val="22D7662C"/>
    <w:rsid w:val="23326B7F"/>
    <w:rsid w:val="235F5C27"/>
    <w:rsid w:val="2380045B"/>
    <w:rsid w:val="238642F9"/>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E24220"/>
    <w:rsid w:val="2AF5378F"/>
    <w:rsid w:val="2BB94DBF"/>
    <w:rsid w:val="2C6F314E"/>
    <w:rsid w:val="2CC206BE"/>
    <w:rsid w:val="2D1136DF"/>
    <w:rsid w:val="2D20606D"/>
    <w:rsid w:val="2DB87198"/>
    <w:rsid w:val="2DB93C54"/>
    <w:rsid w:val="2E3D144C"/>
    <w:rsid w:val="2E67170B"/>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AF0815"/>
    <w:rsid w:val="35B21E0B"/>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0F7A94"/>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344021"/>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5F0AA6"/>
    <w:rsid w:val="4A7B2875"/>
    <w:rsid w:val="4A934476"/>
    <w:rsid w:val="4AAA220A"/>
    <w:rsid w:val="4AE12E67"/>
    <w:rsid w:val="4B4C0111"/>
    <w:rsid w:val="4B8553A9"/>
    <w:rsid w:val="4B8B163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C7417D"/>
    <w:rsid w:val="53D03877"/>
    <w:rsid w:val="542F73CA"/>
    <w:rsid w:val="5430786D"/>
    <w:rsid w:val="545A1D2A"/>
    <w:rsid w:val="54C811C0"/>
    <w:rsid w:val="556A442D"/>
    <w:rsid w:val="55DA564E"/>
    <w:rsid w:val="55E816A3"/>
    <w:rsid w:val="5604127D"/>
    <w:rsid w:val="56166703"/>
    <w:rsid w:val="56510474"/>
    <w:rsid w:val="566B38E3"/>
    <w:rsid w:val="56861525"/>
    <w:rsid w:val="56A93273"/>
    <w:rsid w:val="56BD550C"/>
    <w:rsid w:val="56E07045"/>
    <w:rsid w:val="56FF28AF"/>
    <w:rsid w:val="57540E7D"/>
    <w:rsid w:val="577B4878"/>
    <w:rsid w:val="57926973"/>
    <w:rsid w:val="580B625A"/>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22AC3"/>
    <w:rsid w:val="5DD92690"/>
    <w:rsid w:val="5DDB1CFD"/>
    <w:rsid w:val="5E7E6D93"/>
    <w:rsid w:val="5ED44800"/>
    <w:rsid w:val="5F350BDE"/>
    <w:rsid w:val="5F61632C"/>
    <w:rsid w:val="5FA17648"/>
    <w:rsid w:val="5FE705CB"/>
    <w:rsid w:val="603D5080"/>
    <w:rsid w:val="60A630CB"/>
    <w:rsid w:val="60D0261B"/>
    <w:rsid w:val="618E3791"/>
    <w:rsid w:val="61947DCA"/>
    <w:rsid w:val="61A46A97"/>
    <w:rsid w:val="61D1382F"/>
    <w:rsid w:val="61F114A2"/>
    <w:rsid w:val="622B0ABA"/>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AE82F02"/>
    <w:rsid w:val="6B68175F"/>
    <w:rsid w:val="6BFD799F"/>
    <w:rsid w:val="6C4A2E5A"/>
    <w:rsid w:val="6C8138D0"/>
    <w:rsid w:val="6CEF0725"/>
    <w:rsid w:val="6D4B2604"/>
    <w:rsid w:val="6D8030E4"/>
    <w:rsid w:val="6E0E35C4"/>
    <w:rsid w:val="6E0F7A08"/>
    <w:rsid w:val="6E3947F5"/>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3F0C02"/>
    <w:rsid w:val="748D790E"/>
    <w:rsid w:val="749820CC"/>
    <w:rsid w:val="74CE04EC"/>
    <w:rsid w:val="74E76DCD"/>
    <w:rsid w:val="751D7C0A"/>
    <w:rsid w:val="75722D56"/>
    <w:rsid w:val="75DB5477"/>
    <w:rsid w:val="75FC6AC3"/>
    <w:rsid w:val="7616619B"/>
    <w:rsid w:val="765B3437"/>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95AA5"/>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spacing w:before="260" w:after="260" w:line="416" w:lineRule="auto"/>
      <w:outlineLvl w:val="2"/>
    </w:pPr>
    <w:rPr>
      <w:b/>
      <w:bCs/>
      <w:sz w:val="32"/>
      <w:szCs w:val="32"/>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5323</Words>
  <Characters>6009</Characters>
  <Lines>0</Lines>
  <Paragraphs>0</Paragraphs>
  <TotalTime>335</TotalTime>
  <ScaleCrop>false</ScaleCrop>
  <LinksUpToDate>false</LinksUpToDate>
  <CharactersWithSpaces>6019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2025-04-07T09:38:40Z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B4835755CED04A2A91DF55D53AA6536F_13</vt:lpwstr>
  </property>
</Properties>
</file>