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after="100" w:afterAutospacing="1" w:line="570" w:lineRule="exact"/>
        <w:ind w:left="0" w:leftChars="0" w:firstLine="0" w:firstLineChars="0"/>
        <w:jc w:val="center"/>
        <w:textAlignment w:val="auto"/>
        <w:rPr>
          <w:rFonts w:hint="eastAsia" w:ascii="方正小标宋_GBK" w:hAnsi="黑体" w:eastAsia="方正小标宋_GBK" w:cs="黑体"/>
          <w:bCs/>
          <w:color w:val="auto"/>
          <w:sz w:val="44"/>
          <w:szCs w:val="44"/>
          <w:lang w:val="en-US" w:eastAsia="zh-CN"/>
        </w:rPr>
      </w:pPr>
      <w:r>
        <w:rPr>
          <w:rFonts w:hint="eastAsia" w:ascii="方正小标宋_GBK" w:hAnsi="黑体" w:eastAsia="方正小标宋_GBK" w:cs="黑体"/>
          <w:bCs/>
          <w:color w:val="auto"/>
          <w:sz w:val="44"/>
          <w:szCs w:val="44"/>
          <w:lang w:val="en-US" w:eastAsia="zh-CN"/>
        </w:rPr>
        <w:t>裕民县巴尔鲁克山国有林管理局天然林资源保护修复2023年度项目支出绩效评价报告</w:t>
      </w:r>
    </w:p>
    <w:p>
      <w:pPr>
        <w:pageBreakBefore w:val="0"/>
        <w:widowControl w:val="0"/>
        <w:shd w:val="clear"/>
        <w:kinsoku/>
        <w:wordWrap/>
        <w:topLinePunct w:val="0"/>
        <w:autoSpaceDE/>
        <w:autoSpaceDN/>
        <w:bidi w:val="0"/>
        <w:spacing w:line="570" w:lineRule="exact"/>
        <w:ind w:firstLine="960" w:firstLineChars="200"/>
        <w:jc w:val="center"/>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left="0" w:leftChars="0" w:firstLine="960" w:firstLineChars="200"/>
        <w:jc w:val="both"/>
        <w:textAlignment w:val="auto"/>
        <w:rPr>
          <w:rFonts w:ascii="Arial Unicode MS" w:hAnsi="黑体" w:eastAsia="Arial Unicode MS" w:cs="黑体"/>
          <w:bCs/>
          <w:sz w:val="48"/>
          <w:szCs w:val="48"/>
        </w:rPr>
      </w:pPr>
    </w:p>
    <w:p>
      <w:pPr>
        <w:pStyle w:val="11"/>
        <w:shd w:val="clear"/>
        <w:rPr>
          <w:rFonts w:ascii="Arial Unicode MS" w:hAnsi="黑体" w:eastAsia="Arial Unicode MS" w:cs="黑体"/>
          <w:bCs/>
          <w:sz w:val="48"/>
          <w:szCs w:val="48"/>
        </w:rPr>
      </w:pPr>
    </w:p>
    <w:p>
      <w:pPr>
        <w:shd w:val="clear"/>
        <w:rPr>
          <w:rFonts w:ascii="Arial Unicode MS" w:hAnsi="黑体" w:eastAsia="Arial Unicode MS" w:cs="黑体"/>
          <w:bCs/>
          <w:sz w:val="48"/>
          <w:szCs w:val="48"/>
        </w:rPr>
      </w:pPr>
    </w:p>
    <w:p>
      <w:pPr>
        <w:pStyle w:val="11"/>
        <w:shd w:val="clear"/>
      </w:pPr>
    </w:p>
    <w:p>
      <w:pPr>
        <w:pageBreakBefore w:val="0"/>
        <w:widowControl w:val="0"/>
        <w:shd w:val="clear"/>
        <w:kinsoku/>
        <w:wordWrap/>
        <w:topLinePunct w:val="0"/>
        <w:autoSpaceDE/>
        <w:autoSpaceDN/>
        <w:bidi w:val="0"/>
        <w:spacing w:line="570" w:lineRule="exact"/>
        <w:ind w:firstLine="960" w:firstLineChars="200"/>
        <w:jc w:val="both"/>
        <w:textAlignment w:val="auto"/>
        <w:rPr>
          <w:rFonts w:ascii="Arial Unicode MS" w:hAnsi="黑体" w:eastAsia="Arial Unicode MS" w:cs="黑体"/>
          <w:bCs/>
          <w:sz w:val="48"/>
          <w:szCs w:val="48"/>
        </w:rPr>
      </w:pPr>
    </w:p>
    <w:p>
      <w:pPr>
        <w:pageBreakBefore w:val="0"/>
        <w:widowControl w:val="0"/>
        <w:shd w:val="clear"/>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lang w:val="en-US" w:eastAsia="zh-CN"/>
        </w:rPr>
        <w:t>天然林资源保护修复</w:t>
      </w:r>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度</w:t>
      </w:r>
      <w:r>
        <w:rPr>
          <w:rFonts w:hint="eastAsia" w:ascii="黑体" w:hAnsi="黑体" w:eastAsia="黑体" w:cs="仿宋_GB2312"/>
          <w:color w:val="auto"/>
          <w:sz w:val="30"/>
          <w:szCs w:val="30"/>
        </w:rPr>
        <w:t>项目</w:t>
      </w:r>
      <w:bookmarkEnd w:id="0"/>
    </w:p>
    <w:p>
      <w:pPr>
        <w:pageBreakBefore w:val="0"/>
        <w:widowControl w:val="0"/>
        <w:shd w:val="clear"/>
        <w:kinsoku/>
        <w:wordWrap/>
        <w:topLinePunct w:val="0"/>
        <w:autoSpaceDE/>
        <w:autoSpaceDN/>
        <w:bidi w:val="0"/>
        <w:spacing w:line="570" w:lineRule="exact"/>
        <w:ind w:firstLine="1500" w:firstLineChars="500"/>
        <w:jc w:val="both"/>
        <w:textAlignment w:val="auto"/>
        <w:rPr>
          <w:rFonts w:hint="eastAsia" w:ascii="黑体" w:hAnsi="黑体" w:eastAsia="黑体" w:cs="宋体"/>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宋体"/>
          <w:color w:val="auto"/>
          <w:sz w:val="30"/>
          <w:szCs w:val="30"/>
          <w:lang w:val="en-US" w:eastAsia="zh-CN"/>
        </w:rPr>
        <w:t>裕民县巴尔鲁克山国有林管理局</w:t>
      </w:r>
    </w:p>
    <w:p>
      <w:pPr>
        <w:pageBreakBefore w:val="0"/>
        <w:widowControl w:val="0"/>
        <w:shd w:val="clear"/>
        <w:kinsoku/>
        <w:wordWrap/>
        <w:topLinePunct w:val="0"/>
        <w:autoSpaceDE/>
        <w:autoSpaceDN/>
        <w:bidi w:val="0"/>
        <w:spacing w:line="570" w:lineRule="exact"/>
        <w:ind w:firstLine="1500" w:firstLineChars="5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裕民县自然资源</w:t>
      </w:r>
      <w:r>
        <w:rPr>
          <w:rFonts w:hint="eastAsia" w:ascii="黑体" w:hAnsi="黑体" w:eastAsia="黑体" w:cs="宋体"/>
          <w:color w:val="auto"/>
          <w:sz w:val="30"/>
          <w:szCs w:val="30"/>
        </w:rPr>
        <w:t>局</w:t>
      </w:r>
    </w:p>
    <w:p>
      <w:pPr>
        <w:pageBreakBefore w:val="0"/>
        <w:widowControl w:val="0"/>
        <w:shd w:val="clear"/>
        <w:kinsoku/>
        <w:wordWrap/>
        <w:topLinePunct w:val="0"/>
        <w:autoSpaceDE/>
        <w:autoSpaceDN/>
        <w:bidi w:val="0"/>
        <w:spacing w:line="570" w:lineRule="exact"/>
        <w:ind w:firstLine="1500" w:firstLineChars="500"/>
        <w:jc w:val="both"/>
        <w:textAlignment w:val="auto"/>
        <w:rPr>
          <w:rFonts w:hint="default" w:ascii="黑体" w:hAnsi="黑体" w:eastAsia="黑体" w:cs="宋体"/>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哈勒木江·卡万</w:t>
      </w:r>
    </w:p>
    <w:p>
      <w:pPr>
        <w:pageBreakBefore w:val="0"/>
        <w:widowControl w:val="0"/>
        <w:shd w:val="clear"/>
        <w:kinsoku/>
        <w:wordWrap/>
        <w:topLinePunct w:val="0"/>
        <w:autoSpaceDE/>
        <w:autoSpaceDN/>
        <w:bidi w:val="0"/>
        <w:spacing w:line="570" w:lineRule="exact"/>
        <w:ind w:firstLine="1500" w:firstLineChars="500"/>
        <w:jc w:val="both"/>
        <w:textAlignment w:val="auto"/>
        <w:rPr>
          <w:rFonts w:hint="default" w:eastAsia="黑体"/>
          <w:color w:val="auto"/>
          <w:lang w:val="en-US" w:eastAsia="zh-CN"/>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26日</w:t>
      </w:r>
    </w:p>
    <w:p>
      <w:pPr>
        <w:pageBreakBefore w:val="0"/>
        <w:widowControl w:val="0"/>
        <w:shd w:val="clear"/>
        <w:kinsoku/>
        <w:wordWrap/>
        <w:topLinePunct w:val="0"/>
        <w:autoSpaceDE/>
        <w:autoSpaceDN/>
        <w:bidi w:val="0"/>
        <w:spacing w:after="100" w:afterAutospacing="1" w:line="570" w:lineRule="exact"/>
        <w:ind w:left="0" w:leftChars="0" w:firstLine="0" w:firstLineChars="0"/>
        <w:jc w:val="both"/>
        <w:textAlignment w:val="auto"/>
        <w:rPr>
          <w:rFonts w:hint="eastAsia" w:ascii="方正小标宋_GBK" w:hAnsi="黑体" w:eastAsia="方正小标宋_GBK" w:cs="黑体"/>
          <w:bCs/>
          <w:color w:val="auto"/>
          <w:sz w:val="44"/>
          <w:szCs w:val="44"/>
          <w:lang w:val="en-US" w:eastAsia="zh-CN"/>
        </w:rPr>
      </w:pPr>
    </w:p>
    <w:p>
      <w:pPr>
        <w:pageBreakBefore w:val="0"/>
        <w:widowControl w:val="0"/>
        <w:shd w:val="clear"/>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裕民县巴尔鲁克山国有林管理局天然林资源保护修复2023年度项目</w:t>
      </w:r>
      <w:r>
        <w:rPr>
          <w:rFonts w:hint="eastAsia" w:ascii="方正小标宋_GBK" w:hAnsi="黑体" w:eastAsia="方正小标宋_GBK" w:cs="黑体"/>
          <w:bCs/>
          <w:color w:val="auto"/>
          <w:sz w:val="44"/>
          <w:szCs w:val="44"/>
        </w:rPr>
        <w:t>支出绩效评价报告</w:t>
      </w:r>
    </w:p>
    <w:p>
      <w:pPr>
        <w:pStyle w:val="3"/>
        <w:pageBreakBefore w:val="0"/>
        <w:widowControl w:val="0"/>
        <w:shd w:val="clear"/>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shd w:val="clea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1.项目背景</w:t>
      </w:r>
    </w:p>
    <w:p>
      <w:pPr>
        <w:pageBreakBefore w:val="0"/>
        <w:widowControl w:val="0"/>
        <w:shd w:val="clear"/>
        <w:kinsoku/>
        <w:wordWrap/>
        <w:topLinePunct w:val="0"/>
        <w:autoSpaceDE/>
        <w:autoSpaceDN/>
        <w:bidi w:val="0"/>
        <w:spacing w:line="570" w:lineRule="exact"/>
        <w:ind w:firstLine="640" w:firstLineChars="200"/>
        <w:jc w:val="both"/>
        <w:textAlignment w:val="auto"/>
        <w:rPr>
          <w:color w:val="auto"/>
          <w:sz w:val="32"/>
          <w:szCs w:val="32"/>
        </w:rPr>
      </w:pPr>
      <w:r>
        <w:rPr>
          <w:rFonts w:hint="eastAsia"/>
          <w:b w:val="0"/>
          <w:bCs w:val="0"/>
          <w:color w:val="auto"/>
          <w:sz w:val="32"/>
          <w:szCs w:val="32"/>
          <w:lang w:val="en-US" w:eastAsia="zh-CN"/>
        </w:rPr>
        <w:t>以习近平新时代中国特色社会主义思想为指导，全面落实党的二十大会议精神，统筹推进“五位一体”总体布局和“四个全面”战略布局，牢固树立绿水青山就是金山银山理念，落实自治区党委新部署。新要求的工作部署，以天然林保护和培育为重点，以完善管护体系，提高天然林保护质量，构建丝绸之路经济带核心区屏障为目标，持续保持资源增长、质量提高、生态良好、民生改善、林区和谐。</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keepNext w:val="0"/>
        <w:keepLines w:val="0"/>
        <w:pageBreakBefore w:val="0"/>
        <w:widowControl w:val="0"/>
        <w:shd w:val="clea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val="en-US" w:eastAsia="zh-CN"/>
        </w:rPr>
        <w:t>天然林日常管护、巡护车辆运行保障、管护站监控网络建设、资源调查设备购置及森林草原资源保护及防灾减灾智能管护平台建设等支出。</w:t>
      </w:r>
    </w:p>
    <w:p>
      <w:pPr>
        <w:keepNext w:val="0"/>
        <w:keepLines w:val="0"/>
        <w:pageBreakBefore w:val="0"/>
        <w:widowControl w:val="0"/>
        <w:shd w:val="clear"/>
        <w:kinsoku/>
        <w:wordWrap/>
        <w:overflowPunct/>
        <w:topLinePunct w:val="0"/>
        <w:autoSpaceDE/>
        <w:autoSpaceDN/>
        <w:bidi w:val="0"/>
        <w:adjustRightInd/>
        <w:snapToGrid/>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实施情况：根据项目下达计划，我局编制了项目实施方案，拟定了项目建设内容、建设要求、建设期限，制定了项目管理措施，成立了项目领导小组，制定了资金管理制度，保证了项目的顺利实施。</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Hans" w:bidi="ar-SA"/>
        </w:rPr>
        <w:t>202</w:t>
      </w: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kern w:val="2"/>
          <w:sz w:val="32"/>
          <w:szCs w:val="32"/>
          <w:lang w:val="en-US" w:eastAsia="zh-Hans" w:bidi="ar-SA"/>
        </w:rPr>
        <w:t>年</w:t>
      </w:r>
      <w:r>
        <w:rPr>
          <w:rFonts w:hint="eastAsia" w:ascii="仿宋_GB2312" w:hAnsi="仿宋_GB2312" w:eastAsia="仿宋_GB2312" w:cs="仿宋_GB2312"/>
          <w:kern w:val="2"/>
          <w:sz w:val="32"/>
          <w:szCs w:val="32"/>
          <w:lang w:val="en-US" w:eastAsia="zh-CN" w:bidi="ar-SA"/>
        </w:rPr>
        <w:t>裕民县天然林资源保护修复2023年度项目</w:t>
      </w:r>
      <w:r>
        <w:rPr>
          <w:rFonts w:hint="eastAsia" w:ascii="仿宋_GB2312" w:hAnsi="仿宋_GB2312" w:eastAsia="仿宋_GB2312" w:cs="仿宋_GB2312"/>
          <w:kern w:val="2"/>
          <w:sz w:val="32"/>
          <w:szCs w:val="32"/>
          <w:lang w:val="en-US" w:eastAsia="zh-Hans" w:bidi="ar-SA"/>
        </w:rPr>
        <w:t>的实施主体为</w:t>
      </w:r>
      <w:r>
        <w:rPr>
          <w:rFonts w:hint="eastAsia" w:ascii="仿宋_GB2312" w:hAnsi="仿宋_GB2312" w:eastAsia="仿宋_GB2312" w:cs="仿宋_GB2312"/>
          <w:kern w:val="2"/>
          <w:sz w:val="32"/>
          <w:szCs w:val="32"/>
          <w:lang w:val="en-US" w:eastAsia="zh-CN" w:bidi="ar-SA"/>
        </w:rPr>
        <w:t>裕民县巴尔鲁克山国有林管理局</w:t>
      </w:r>
      <w:r>
        <w:rPr>
          <w:rFonts w:hint="eastAsia" w:ascii="仿宋_GB2312" w:hAnsi="仿宋_GB2312" w:eastAsia="仿宋_GB2312" w:cs="仿宋_GB2312"/>
          <w:kern w:val="2"/>
          <w:sz w:val="32"/>
          <w:szCs w:val="32"/>
          <w:lang w:val="en-US" w:eastAsia="zh-Hans" w:bidi="ar-SA"/>
        </w:rPr>
        <w:t>。</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地区财政局、裕民县财政局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val="en-US" w:eastAsia="zh-CN"/>
        </w:rPr>
        <w:t>提前下达2023年中央林业草原生态保护恢复资金</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》塔地财建[2022]114号裕财建[2022]23号</w:t>
      </w:r>
      <w:r>
        <w:rPr>
          <w:rFonts w:hint="eastAsia" w:ascii="仿宋_GB2312" w:hAnsi="仿宋_GB2312" w:cs="仿宋_GB2312"/>
          <w:color w:val="auto"/>
          <w:sz w:val="32"/>
          <w:szCs w:val="32"/>
          <w:lang w:eastAsia="zh-Hans"/>
        </w:rPr>
        <w:t>文件，</w:t>
      </w:r>
      <w:r>
        <w:rPr>
          <w:rFonts w:hint="eastAsia"/>
          <w:lang w:val="en-US" w:eastAsia="zh-CN"/>
        </w:rPr>
        <w:t>裕民县巴尔鲁克山国有林管理局天然林资源保护修复2023年度项目下达</w:t>
      </w:r>
      <w:r>
        <w:rPr>
          <w:rFonts w:hint="eastAsia" w:ascii="仿宋_GB2312" w:hAnsi="仿宋_GB2312" w:cs="仿宋_GB2312"/>
          <w:color w:val="auto"/>
          <w:sz w:val="32"/>
          <w:szCs w:val="32"/>
        </w:rPr>
        <w:t>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182.97</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182.97</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182.97</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hAnsi="仿宋_GB2312" w:cs="仿宋_GB2312"/>
          <w:color w:val="000000" w:themeColor="text1"/>
          <w:sz w:val="32"/>
          <w:szCs w:val="32"/>
          <w:lang w:val="en-US" w:eastAsia="zh-CN"/>
          <w14:textFill>
            <w14:solidFill>
              <w14:schemeClr w14:val="tx1"/>
            </w14:solidFill>
          </w14:textFill>
        </w:rPr>
        <w:t>截至2023年12月31日，本项目实际支付资金176.64万元、预算执行率96.54%，剩余资金6.33为招标差价，财政已收回，项目已完工。</w:t>
      </w:r>
    </w:p>
    <w:p>
      <w:pPr>
        <w:pStyle w:val="4"/>
        <w:pageBreakBefore w:val="0"/>
        <w:widowControl w:val="0"/>
        <w:numPr>
          <w:ilvl w:val="0"/>
          <w:numId w:val="2"/>
        </w:numPr>
        <w:shd w:val="clea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通过实施</w:t>
      </w:r>
      <w:r>
        <w:rPr>
          <w:rFonts w:hint="eastAsia" w:ascii="仿宋_GB2312" w:hAnsi="仿宋_GB2312" w:cs="仿宋_GB2312"/>
          <w:color w:val="auto"/>
          <w:sz w:val="32"/>
          <w:szCs w:val="32"/>
          <w:highlight w:val="none"/>
          <w:lang w:val="en-US" w:eastAsia="zh-CN"/>
        </w:rPr>
        <w:t>天然林资源保护修复2023年度项目</w:t>
      </w:r>
      <w:r>
        <w:rPr>
          <w:rFonts w:hint="eastAsia" w:ascii="仿宋_GB2312" w:hAnsi="仿宋_GB2312" w:eastAsia="仿宋_GB2312" w:cs="仿宋_GB2312"/>
          <w:b w:val="0"/>
          <w:bCs w:val="0"/>
          <w:color w:val="auto"/>
          <w:sz w:val="32"/>
          <w:szCs w:val="32"/>
          <w:lang w:val="en-US" w:eastAsia="zh-CN"/>
        </w:rPr>
        <w:t>，加强林区基础设施建设，对全县17.97万亩天然林进行管护，加强林木资源保护和培育，积极提高森林质量，增加森林面积。严格禁止采伐天然林，杜绝擅自改变林地用途，确保天然林资源得到有效保护。</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shd w:val="clea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①数量指标</w:t>
      </w:r>
    </w:p>
    <w:p>
      <w:pPr>
        <w:pageBreakBefore w:val="0"/>
        <w:widowControl w:val="0"/>
        <w:shd w:val="clear"/>
        <w:kinsoku/>
        <w:wordWrap/>
        <w:topLinePunct w:val="0"/>
        <w:autoSpaceDE/>
        <w:autoSpaceDN/>
        <w:bidi w:val="0"/>
        <w:spacing w:line="570" w:lineRule="exact"/>
        <w:ind w:left="638" w:leftChars="228"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“天保工程区面积（万亩）”指标，预期指标值为“=17.97万亩”</w:t>
      </w:r>
    </w:p>
    <w:p>
      <w:pPr>
        <w:pageBreakBefore w:val="0"/>
        <w:widowControl w:val="0"/>
        <w:shd w:val="clear"/>
        <w:kinsoku/>
        <w:wordWrap/>
        <w:topLinePunct w:val="0"/>
        <w:autoSpaceDE/>
        <w:autoSpaceDN/>
        <w:bidi w:val="0"/>
        <w:spacing w:line="570" w:lineRule="exact"/>
        <w:ind w:left="638" w:leftChars="228" w:firstLine="0" w:firstLine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“培训人次”指标，预期指标值为“≥9人”</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②质量指标</w:t>
      </w:r>
    </w:p>
    <w:p>
      <w:pPr>
        <w:pageBreakBefore w:val="0"/>
        <w:widowControl w:val="0"/>
        <w:shd w:val="clear"/>
        <w:kinsoku/>
        <w:wordWrap/>
        <w:topLinePunct w:val="0"/>
        <w:autoSpaceDE/>
        <w:autoSpaceDN/>
        <w:bidi w:val="0"/>
        <w:spacing w:line="570" w:lineRule="exact"/>
        <w:ind w:left="638" w:leftChars="228" w:firstLine="0" w:firstLineChars="0"/>
        <w:jc w:val="both"/>
        <w:textAlignment w:val="auto"/>
        <w:rPr>
          <w:rFonts w:hint="eastAsia" w:ascii="仿宋_GB2312" w:hAnsi="仿宋_GB2312" w:eastAsia="仿宋_GB2312" w:cs="仿宋_GB2312"/>
          <w:sz w:val="32"/>
          <w:szCs w:val="32"/>
          <w:lang w:val="en-US" w:eastAsia="zh-CN"/>
        </w:rPr>
      </w:pPr>
      <w:r>
        <w:rPr>
          <w:rStyle w:val="28"/>
          <w:rFonts w:hint="eastAsia" w:ascii="仿宋_GB2312" w:hAnsi="仿宋_GB2312" w:eastAsia="仿宋_GB2312" w:cs="仿宋_GB2312"/>
          <w:color w:val="000000"/>
          <w:sz w:val="32"/>
          <w:szCs w:val="32"/>
          <w:lang w:val="en-US"/>
        </w:rPr>
        <w:t>“天然林管护合格率（%）”指标</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sz w:val="32"/>
          <w:szCs w:val="32"/>
          <w:lang w:val="en-US" w:eastAsia="zh-CN"/>
        </w:rPr>
        <w:t>预期指标值为“≥95%”</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③时效指标</w:t>
      </w:r>
    </w:p>
    <w:p>
      <w:pPr>
        <w:pageBreakBefore w:val="0"/>
        <w:widowControl w:val="0"/>
        <w:numPr>
          <w:ilvl w:val="0"/>
          <w:numId w:val="0"/>
        </w:numPr>
        <w:shd w:val="clear"/>
        <w:kinsoku/>
        <w:wordWrap/>
        <w:topLinePunct w:val="0"/>
        <w:autoSpaceDE/>
        <w:autoSpaceDN/>
        <w:bidi w:val="0"/>
        <w:spacing w:line="570" w:lineRule="exact"/>
        <w:ind w:left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“项目建设期限”指标，</w:t>
      </w:r>
      <w:r>
        <w:rPr>
          <w:rFonts w:hint="eastAsia" w:ascii="仿宋_GB2312" w:hAnsi="仿宋_GB2312" w:eastAsia="仿宋_GB2312" w:cs="仿宋_GB2312"/>
          <w:b w:val="0"/>
          <w:bCs w:val="0"/>
          <w:sz w:val="32"/>
          <w:szCs w:val="32"/>
          <w:lang w:val="en-US" w:eastAsia="zh-CN"/>
        </w:rPr>
        <w:t>预期指标值为“2023年12月25日”</w:t>
      </w:r>
    </w:p>
    <w:p>
      <w:pPr>
        <w:pStyle w:val="2"/>
        <w:shd w:val="clea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“资金使用及时率”指标，预期指标值为“=100%”</w:t>
      </w:r>
    </w:p>
    <w:p>
      <w:pPr>
        <w:pageBreakBefore w:val="0"/>
        <w:widowControl w:val="0"/>
        <w:numPr>
          <w:ilvl w:val="0"/>
          <w:numId w:val="3"/>
        </w:numPr>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highlight w:val="none"/>
        </w:rPr>
        <w:t>成本指标</w:t>
      </w:r>
      <w:r>
        <w:rPr>
          <w:rFonts w:hint="eastAsia" w:ascii="仿宋_GB2312" w:hAnsi="仿宋_GB2312" w:eastAsia="仿宋_GB2312" w:cs="仿宋_GB2312"/>
          <w:sz w:val="32"/>
          <w:szCs w:val="32"/>
          <w:highlight w:val="none"/>
          <w:lang w:val="en-US" w:eastAsia="zh-CN"/>
        </w:rPr>
        <w:t xml:space="preserve">  </w:t>
      </w:r>
    </w:p>
    <w:p>
      <w:pPr>
        <w:pageBreakBefore w:val="0"/>
        <w:widowControl w:val="0"/>
        <w:numPr>
          <w:ilvl w:val="0"/>
          <w:numId w:val="0"/>
        </w:numPr>
        <w:shd w:val="clear"/>
        <w:kinsoku/>
        <w:wordWrap/>
        <w:topLinePunct w:val="0"/>
        <w:autoSpaceDE/>
        <w:autoSpaceDN/>
        <w:bidi w:val="0"/>
        <w:spacing w:line="570" w:lineRule="exact"/>
        <w:ind w:left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“项目所需成本”指标，预期指标值为“≤182.97万元”。</w:t>
      </w:r>
    </w:p>
    <w:p>
      <w:pPr>
        <w:pageBreakBefore w:val="0"/>
        <w:widowControl w:val="0"/>
        <w:numPr>
          <w:ilvl w:val="0"/>
          <w:numId w:val="3"/>
        </w:numPr>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项目效益指标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①经济效益指标</w:t>
      </w:r>
      <w:r>
        <w:rPr>
          <w:rFonts w:hint="eastAsia" w:ascii="仿宋_GB2312" w:hAnsi="仿宋_GB2312" w:eastAsia="仿宋_GB2312" w:cs="仿宋_GB2312"/>
          <w:sz w:val="32"/>
          <w:szCs w:val="32"/>
          <w:lang w:val="en-US" w:eastAsia="zh-CN"/>
        </w:rPr>
        <w:t xml:space="preserve"> </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“支持县域经济可持续发展”指标，预期指标值为“有效支持”。</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②社会效益指标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无此项指标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③生态效益指标</w:t>
      </w:r>
    </w:p>
    <w:p>
      <w:pPr>
        <w:pageBreakBefore w:val="0"/>
        <w:widowControl w:val="0"/>
        <w:shd w:val="clear"/>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无此项指标</w:t>
      </w:r>
    </w:p>
    <w:p>
      <w:pPr>
        <w:pStyle w:val="29"/>
        <w:pageBreakBefore w:val="0"/>
        <w:widowControl w:val="0"/>
        <w:numPr>
          <w:ilvl w:val="0"/>
          <w:numId w:val="3"/>
        </w:numPr>
        <w:shd w:val="clear"/>
        <w:kinsoku/>
        <w:wordWrap/>
        <w:topLinePunct w:val="0"/>
        <w:autoSpaceDE/>
        <w:autoSpaceDN/>
        <w:bidi w:val="0"/>
        <w:snapToGrid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相关满意度目标</w:t>
      </w:r>
      <w:r>
        <w:rPr>
          <w:rFonts w:hint="eastAsia" w:ascii="仿宋_GB2312" w:hAnsi="仿宋_GB2312" w:eastAsia="仿宋_GB2312" w:cs="仿宋_GB2312"/>
          <w:sz w:val="32"/>
          <w:szCs w:val="32"/>
          <w:lang w:val="en-US" w:eastAsia="zh-CN"/>
        </w:rPr>
        <w:t xml:space="preserve"> </w:t>
      </w:r>
    </w:p>
    <w:p>
      <w:pPr>
        <w:pStyle w:val="29"/>
        <w:pageBreakBefore w:val="0"/>
        <w:widowControl w:val="0"/>
        <w:numPr>
          <w:ilvl w:val="0"/>
          <w:numId w:val="0"/>
        </w:numPr>
        <w:shd w:val="clear"/>
        <w:kinsoku/>
        <w:wordWrap/>
        <w:topLinePunct w:val="0"/>
        <w:autoSpaceDE/>
        <w:autoSpaceDN/>
        <w:bidi w:val="0"/>
        <w:snapToGrid w:val="0"/>
        <w:spacing w:line="570" w:lineRule="exact"/>
        <w:ind w:left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“项目区域群众满意度”指标，预期指标值为“≥95%”。</w:t>
      </w:r>
    </w:p>
    <w:p>
      <w:pPr>
        <w:pStyle w:val="3"/>
        <w:pageBreakBefore w:val="0"/>
        <w:widowControl w:val="0"/>
        <w:shd w:val="clear"/>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shd w:val="clea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26632"/>
      <w:bookmarkStart w:id="2" w:name="_Toc480473081"/>
      <w:bookmarkStart w:id="3" w:name="_Toc22169_WPSOffice_Level2"/>
      <w:bookmarkStart w:id="4" w:name="_Toc5462343"/>
      <w:bookmarkStart w:id="5" w:name="_Toc22922"/>
      <w:bookmarkStart w:id="6" w:name="_Toc5258"/>
      <w:bookmarkStart w:id="7" w:name="_Toc21664"/>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仿宋_GB2312"/>
          <w:color w:val="auto"/>
          <w:sz w:val="32"/>
          <w:szCs w:val="32"/>
          <w:lang w:eastAsia="zh-Hans"/>
        </w:rPr>
        <w:t>天然林资源保护修复2023年</w:t>
      </w:r>
      <w:r>
        <w:rPr>
          <w:rFonts w:hint="eastAsia" w:ascii="仿宋_GB2312"/>
          <w:color w:val="auto"/>
          <w:sz w:val="32"/>
          <w:szCs w:val="32"/>
          <w:lang w:val="en-US" w:eastAsia="zh-CN"/>
        </w:rPr>
        <w:t>度</w:t>
      </w:r>
      <w:r>
        <w:rPr>
          <w:rFonts w:hint="eastAsia" w:ascii="仿宋_GB2312"/>
          <w:color w:val="auto"/>
          <w:sz w:val="32"/>
          <w:szCs w:val="32"/>
        </w:rPr>
        <w:t>项目开展部门绩效评价，主要围绕项目资金使用情况、财务管理状况和资产配置、使用、处置</w:t>
      </w:r>
      <w:r>
        <w:rPr>
          <w:rFonts w:hint="eastAsia" w:ascii="仿宋_GB2312"/>
          <w:color w:val="000000" w:themeColor="text1"/>
          <w:sz w:val="32"/>
          <w:szCs w:val="32"/>
          <w14:textFill>
            <w14:solidFill>
              <w14:schemeClr w14:val="tx1"/>
            </w14:solidFill>
          </w14:textFill>
        </w:rPr>
        <w:t>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shd w:val="clea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ascii="仿宋_GB2312"/>
          <w:color w:val="auto"/>
          <w:sz w:val="32"/>
          <w:szCs w:val="32"/>
          <w:lang w:eastAsia="zh-Hans"/>
        </w:rPr>
        <w:t>天然林资源保护修复2023年</w:t>
      </w:r>
      <w:r>
        <w:rPr>
          <w:rFonts w:hint="eastAsia" w:ascii="仿宋_GB2312"/>
          <w:color w:val="auto"/>
          <w:sz w:val="32"/>
          <w:szCs w:val="32"/>
          <w:lang w:val="en-US" w:eastAsia="zh-CN"/>
        </w:rPr>
        <w:t>度</w:t>
      </w:r>
      <w:r>
        <w:rPr>
          <w:rFonts w:hint="eastAsia" w:ascii="仿宋_GB2312"/>
          <w:color w:val="auto"/>
          <w:sz w:val="32"/>
          <w:szCs w:val="32"/>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shd w:val="clear"/>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1913"/>
      <w:bookmarkStart w:id="10" w:name="_Toc419984722"/>
      <w:bookmarkStart w:id="11" w:name="_Toc428278230"/>
      <w:bookmarkStart w:id="12" w:name="_Toc26131"/>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shd w:val="clear"/>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Times New Roman" w:cs="Times New Roman"/>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w:t>
      </w:r>
      <w:r>
        <w:rPr>
          <w:rFonts w:hint="eastAsia" w:ascii="仿宋_GB2312" w:hAnsi="Times New Roman" w:cs="Times New Roman"/>
          <w:color w:val="000000" w:themeColor="text1"/>
          <w:sz w:val="32"/>
          <w:szCs w:val="32"/>
          <w14:textFill>
            <w14:solidFill>
              <w14:schemeClr w14:val="tx1"/>
            </w14:solidFill>
          </w14:textFill>
        </w:rPr>
        <w:t>资金到位率、预算执行率、资金使用合规性、管理制度健全性、制度执行有效性、实际完成率、质量达标率、完成及时性、成本</w:t>
      </w:r>
      <w:r>
        <w:rPr>
          <w:rFonts w:hint="eastAsia" w:ascii="仿宋_GB2312" w:cs="Times New Roman"/>
          <w:color w:val="000000" w:themeColor="text1"/>
          <w:sz w:val="32"/>
          <w:szCs w:val="32"/>
          <w:lang w:val="en-US" w:eastAsia="zh-CN"/>
          <w14:textFill>
            <w14:solidFill>
              <w14:schemeClr w14:val="tx1"/>
            </w14:solidFill>
          </w14:textFill>
        </w:rPr>
        <w:t>控制</w:t>
      </w:r>
      <w:r>
        <w:rPr>
          <w:rFonts w:hint="eastAsia" w:ascii="仿宋_GB2312" w:hAnsi="Times New Roman" w:cs="Times New Roman"/>
          <w:color w:val="000000" w:themeColor="text1"/>
          <w:sz w:val="32"/>
          <w:szCs w:val="32"/>
          <w14:textFill>
            <w14:solidFill>
              <w14:schemeClr w14:val="tx1"/>
            </w14:solidFill>
          </w14:textFill>
        </w:rPr>
        <w:t>率、</w:t>
      </w:r>
      <w:r>
        <w:rPr>
          <w:rFonts w:hint="eastAsia" w:ascii="仿宋_GB2312" w:cs="Times New Roman"/>
          <w:color w:val="000000" w:themeColor="text1"/>
          <w:sz w:val="32"/>
          <w:szCs w:val="32"/>
          <w:lang w:val="en-US" w:eastAsia="zh-CN"/>
          <w14:textFill>
            <w14:solidFill>
              <w14:schemeClr w14:val="tx1"/>
            </w14:solidFill>
          </w14:textFill>
        </w:rPr>
        <w:t>经济</w:t>
      </w:r>
      <w:r>
        <w:rPr>
          <w:rFonts w:hint="eastAsia" w:ascii="仿宋_GB2312" w:hAnsi="Times New Roman" w:cs="Times New Roman"/>
          <w:color w:val="000000" w:themeColor="text1"/>
          <w:sz w:val="32"/>
          <w:szCs w:val="32"/>
          <w14:textFill>
            <w14:solidFill>
              <w14:schemeClr w14:val="tx1"/>
            </w14:solidFill>
          </w14:textFill>
        </w:rPr>
        <w:t>效益、服务对象满意度。</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Times New Roman" w:cs="Times New Roman"/>
          <w:color w:val="000000" w:themeColor="text1"/>
          <w:sz w:val="32"/>
          <w:szCs w:val="32"/>
          <w14:textFill>
            <w14:solidFill>
              <w14:schemeClr w14:val="tx1"/>
            </w14:solidFill>
          </w14:textFill>
        </w:rPr>
      </w:pPr>
      <w:r>
        <w:rPr>
          <w:rFonts w:hint="eastAsia" w:ascii="仿宋_GB2312" w:hAnsi="Times New Roman" w:cs="Times New Roman"/>
          <w:color w:val="000000" w:themeColor="text1"/>
          <w:sz w:val="32"/>
          <w:szCs w:val="32"/>
          <w14:textFill>
            <w14:solidFill>
              <w14:schemeClr w14:val="tx1"/>
            </w14:solidFill>
          </w14:textFill>
        </w:rPr>
        <w:t>3.评价方法</w:t>
      </w:r>
    </w:p>
    <w:p>
      <w:pPr>
        <w:pStyle w:val="23"/>
        <w:pageBreakBefore w:val="0"/>
        <w:widowControl w:val="0"/>
        <w:shd w:val="clear"/>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pageBreakBefore w:val="0"/>
        <w:widowControl w:val="0"/>
        <w:shd w:val="clear"/>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pageBreakBefore w:val="0"/>
        <w:widowControl w:val="0"/>
        <w:shd w:val="clear"/>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shd w:val="clear"/>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shd w:val="clear"/>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郑云生</w:t>
      </w:r>
      <w:r>
        <w:rPr>
          <w:rFonts w:hint="eastAsia" w:ascii="仿宋_GB2312" w:hAnsi="仿宋_GB2312" w:cs="仿宋_GB2312"/>
          <w:color w:val="FF0000"/>
          <w:sz w:val="32"/>
          <w:szCs w:val="32"/>
          <w:lang w:val="en-US" w:eastAsia="zh-CN"/>
        </w:rPr>
        <w:t xml:space="preserve"> </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val="en-US" w:eastAsia="zh-CN"/>
        </w:rPr>
        <w:t xml:space="preserve">努尔布拉提 </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 xml:space="preserve">李鼎铸 </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pageBreakBefore w:val="0"/>
        <w:widowControl w:val="0"/>
        <w:shd w:val="clear"/>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shd w:val="clea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4"/>
        <w:pageBreakBefore w:val="0"/>
        <w:widowControl w:val="0"/>
        <w:shd w:val="clear"/>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通过实施</w:t>
      </w:r>
      <w:r>
        <w:rPr>
          <w:rFonts w:hint="eastAsia" w:ascii="仿宋_GB2312" w:hAnsi="仿宋_GB2312" w:eastAsia="仿宋_GB2312" w:cs="仿宋_GB2312"/>
          <w:color w:val="auto"/>
          <w:sz w:val="32"/>
          <w:szCs w:val="32"/>
          <w:lang w:eastAsia="zh-Hans"/>
        </w:rPr>
        <w:t>天然林资源保护修复2023年</w:t>
      </w:r>
      <w:r>
        <w:rPr>
          <w:rFonts w:hint="eastAsia" w:ascii="仿宋_GB2312" w:hAnsi="仿宋_GB2312" w:eastAsia="仿宋_GB2312" w:cs="仿宋_GB2312"/>
          <w:color w:val="auto"/>
          <w:sz w:val="32"/>
          <w:szCs w:val="32"/>
          <w:lang w:val="en-US" w:eastAsia="zh-CN"/>
        </w:rPr>
        <w:t>度</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b w:val="0"/>
          <w:bCs w:val="0"/>
          <w:color w:val="auto"/>
          <w:sz w:val="32"/>
          <w:szCs w:val="32"/>
          <w:lang w:val="en-US" w:eastAsia="zh-CN"/>
        </w:rPr>
        <w:t>，加强林区基础设施建设，对全县17.97万亩天然林进行管护，加强林木资源保护和培育，积极提高森林质量，增加森林面积。严格禁止采伐天然林，杜绝擅自改变林地用途现象，天然林资源得到有效保护。该项目预算执行率达9</w:t>
      </w:r>
      <w:r>
        <w:rPr>
          <w:rFonts w:hint="eastAsia" w:ascii="仿宋_GB2312" w:hAnsi="仿宋_GB2312" w:cs="仿宋_GB2312"/>
          <w:b w:val="0"/>
          <w:bCs w:val="0"/>
          <w:color w:val="auto"/>
          <w:sz w:val="32"/>
          <w:szCs w:val="32"/>
          <w:lang w:val="en-US" w:eastAsia="zh-CN"/>
        </w:rPr>
        <w:t>6.54</w:t>
      </w:r>
      <w:r>
        <w:rPr>
          <w:rFonts w:hint="eastAsia" w:ascii="仿宋_GB2312" w:hAnsi="仿宋_GB2312" w:eastAsia="仿宋_GB2312" w:cs="仿宋_GB2312"/>
          <w:b w:val="0"/>
          <w:bCs w:val="0"/>
          <w:color w:val="auto"/>
          <w:sz w:val="32"/>
          <w:szCs w:val="32"/>
          <w:lang w:val="en-US" w:eastAsia="zh-CN"/>
        </w:rPr>
        <w:t>%，项目预期绩效目标及各项具体指标均已全部达成。</w:t>
      </w:r>
    </w:p>
    <w:p>
      <w:pPr>
        <w:pStyle w:val="24"/>
        <w:pageBreakBefore w:val="0"/>
        <w:widowControl w:val="0"/>
        <w:shd w:val="clear"/>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仿宋_GB2312" w:cs="仿宋_GB2312"/>
          <w:bCs/>
          <w:sz w:val="32"/>
          <w:szCs w:val="32"/>
        </w:rPr>
      </w:pPr>
      <w:r>
        <w:rPr>
          <w:rFonts w:hint="eastAsia" w:ascii="仿宋_GB2312" w:hAnsi="仿宋_GB2312" w:cs="仿宋_GB2312"/>
          <w:bCs/>
          <w:sz w:val="32"/>
          <w:szCs w:val="32"/>
        </w:rPr>
        <w:t>本次评价采取定量与定性</w:t>
      </w:r>
      <w:r>
        <w:rPr>
          <w:rFonts w:hint="eastAsia" w:ascii="仿宋_GB2312" w:hAnsi="仿宋_GB2312" w:cs="仿宋_GB2312"/>
          <w:bCs/>
          <w:color w:val="auto"/>
          <w:sz w:val="32"/>
          <w:szCs w:val="32"/>
        </w:rPr>
        <w:t>评价相结合的方式，</w:t>
      </w:r>
      <w:r>
        <w:rPr>
          <w:rFonts w:hint="eastAsia" w:ascii="仿宋_GB2312"/>
          <w:color w:val="auto"/>
          <w:sz w:val="32"/>
          <w:szCs w:val="32"/>
        </w:rPr>
        <w:t>对裕民县自然资源局2023年天然林</w:t>
      </w:r>
      <w:r>
        <w:rPr>
          <w:rFonts w:hint="eastAsia" w:ascii="仿宋_GB2312" w:hAnsi="仿宋_GB2312" w:cs="仿宋_GB2312"/>
          <w:bCs/>
          <w:sz w:val="32"/>
          <w:szCs w:val="32"/>
        </w:rPr>
        <w:t>资源保护修复项目的绩效目标和各项具体绩效指标实现情况进行了客观评价，最终评分为</w:t>
      </w:r>
      <w:r>
        <w:rPr>
          <w:rFonts w:hint="eastAsia" w:ascii="仿宋_GB2312" w:hAnsi="仿宋_GB2312" w:cs="仿宋_GB2312"/>
          <w:bCs/>
          <w:sz w:val="32"/>
          <w:szCs w:val="32"/>
          <w:lang w:val="en-US" w:eastAsia="zh-CN"/>
        </w:rPr>
        <w:t>99.65</w:t>
      </w:r>
      <w:r>
        <w:rPr>
          <w:rFonts w:hint="eastAsia" w:ascii="仿宋_GB2312" w:hAnsi="仿宋_GB2312" w:cs="仿宋_GB2312"/>
          <w:bCs/>
          <w:sz w:val="32"/>
          <w:szCs w:val="32"/>
        </w:rPr>
        <w:t>分。绩效评级为“</w:t>
      </w:r>
      <w:r>
        <w:rPr>
          <w:rFonts w:hint="eastAsia" w:ascii="仿宋_GB2312" w:hAnsi="仿宋_GB2312" w:cs="仿宋_GB2312"/>
          <w:bCs/>
          <w:sz w:val="32"/>
          <w:szCs w:val="32"/>
          <w:lang w:val="en-US" w:eastAsia="zh-CN"/>
        </w:rPr>
        <w:t>优</w:t>
      </w:r>
      <w:r>
        <w:rPr>
          <w:rFonts w:hint="eastAsia" w:ascii="仿宋_GB2312" w:hAnsi="仿宋_GB2312" w:cs="仿宋_GB2312"/>
          <w:bCs/>
          <w:sz w:val="32"/>
          <w:szCs w:val="32"/>
        </w:rPr>
        <w:t>”，具体得分情况为：项目决策</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分、项目过程</w:t>
      </w:r>
      <w:r>
        <w:rPr>
          <w:rFonts w:hint="eastAsia" w:ascii="仿宋_GB2312" w:hAnsi="仿宋_GB2312" w:cs="仿宋_GB2312"/>
          <w:bCs/>
          <w:sz w:val="32"/>
          <w:szCs w:val="32"/>
          <w:lang w:val="en-US" w:eastAsia="zh-CN"/>
        </w:rPr>
        <w:t>15</w:t>
      </w:r>
      <w:r>
        <w:rPr>
          <w:rFonts w:hint="eastAsia" w:ascii="仿宋_GB2312" w:hAnsi="仿宋_GB2312" w:cs="仿宋_GB2312"/>
          <w:bCs/>
          <w:sz w:val="32"/>
          <w:szCs w:val="32"/>
        </w:rPr>
        <w:t>分、项目产出</w:t>
      </w:r>
      <w:r>
        <w:rPr>
          <w:rFonts w:hint="eastAsia" w:ascii="仿宋_GB2312" w:hAnsi="仿宋_GB2312" w:cs="仿宋_GB2312"/>
          <w:bCs/>
          <w:sz w:val="32"/>
          <w:szCs w:val="32"/>
          <w:lang w:val="en-US" w:eastAsia="zh-CN"/>
        </w:rPr>
        <w:t>39.65</w:t>
      </w:r>
      <w:r>
        <w:rPr>
          <w:rFonts w:hint="eastAsia" w:ascii="仿宋_GB2312" w:hAnsi="仿宋_GB2312" w:cs="仿宋_GB2312"/>
          <w:bCs/>
          <w:sz w:val="32"/>
          <w:szCs w:val="32"/>
        </w:rPr>
        <w:t>分、项目效益</w:t>
      </w:r>
      <w:r>
        <w:rPr>
          <w:rFonts w:hint="eastAsia" w:ascii="仿宋_GB2312" w:hAnsi="仿宋_GB2312" w:cs="仿宋_GB2312"/>
          <w:bCs/>
          <w:sz w:val="32"/>
          <w:szCs w:val="32"/>
          <w:lang w:val="en-US" w:eastAsia="zh-CN"/>
        </w:rPr>
        <w:t>20</w:t>
      </w:r>
      <w:r>
        <w:rPr>
          <w:rFonts w:hint="eastAsia" w:ascii="仿宋_GB2312" w:hAnsi="仿宋_GB2312" w:cs="仿宋_GB2312"/>
          <w:bCs/>
          <w:sz w:val="32"/>
          <w:szCs w:val="32"/>
        </w:rPr>
        <w:t>分</w:t>
      </w:r>
      <w:r>
        <w:rPr>
          <w:rFonts w:hint="eastAsia" w:ascii="仿宋_GB2312" w:hAnsi="仿宋_GB2312" w:cs="仿宋_GB2312"/>
          <w:bCs/>
          <w:sz w:val="32"/>
          <w:szCs w:val="32"/>
          <w:lang w:eastAsia="zh-CN"/>
        </w:rPr>
        <w:t>、</w:t>
      </w:r>
      <w:r>
        <w:rPr>
          <w:rFonts w:hint="eastAsia" w:ascii="仿宋_GB2312" w:hAnsi="仿宋_GB2312" w:cs="仿宋_GB2312"/>
          <w:bCs/>
          <w:sz w:val="32"/>
          <w:szCs w:val="32"/>
          <w:lang w:val="en-US" w:eastAsia="zh-CN"/>
        </w:rPr>
        <w:t>项目满意度10分</w:t>
      </w:r>
      <w:r>
        <w:rPr>
          <w:rFonts w:hint="eastAsia" w:ascii="仿宋_GB2312" w:hAnsi="仿宋_GB2312" w:cs="仿宋_GB2312"/>
          <w:bCs/>
          <w:sz w:val="32"/>
          <w:szCs w:val="32"/>
        </w:rPr>
        <w:t>。</w:t>
      </w:r>
    </w:p>
    <w:p>
      <w:pPr>
        <w:pStyle w:val="3"/>
        <w:pageBreakBefore w:val="0"/>
        <w:widowControl w:val="0"/>
        <w:shd w:val="clear"/>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shd w:val="clear"/>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shd w:val="clear"/>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Style w:val="25"/>
        <w:pageBreakBefore w:val="0"/>
        <w:widowControl w:val="0"/>
        <w:numPr>
          <w:ilvl w:val="0"/>
          <w:numId w:val="0"/>
        </w:numPr>
        <w:shd w:val="clear"/>
        <w:kinsoku/>
        <w:wordWrap/>
        <w:topLinePunct w:val="0"/>
        <w:autoSpaceDE/>
        <w:autoSpaceDN/>
        <w:bidi w:val="0"/>
        <w:spacing w:line="570" w:lineRule="exact"/>
        <w:ind w:firstLine="667" w:firstLineChars="200"/>
        <w:jc w:val="both"/>
        <w:textAlignment w:val="auto"/>
        <w:rPr>
          <w:rFonts w:hint="eastAsia" w:cs="仿宋_GB2312"/>
          <w:color w:val="auto"/>
        </w:rPr>
      </w:pPr>
      <w:r>
        <w:rPr>
          <w:rFonts w:hint="eastAsia" w:cs="仿宋_GB2312"/>
          <w:b/>
          <w:bCs/>
          <w:color w:val="auto"/>
          <w:lang w:val="en-US" w:eastAsia="zh-CN"/>
        </w:rPr>
        <w:t>1.</w:t>
      </w:r>
      <w:r>
        <w:rPr>
          <w:rFonts w:hint="eastAsia" w:cs="仿宋_GB2312"/>
          <w:b/>
          <w:bCs/>
          <w:color w:val="auto"/>
        </w:rPr>
        <w:t>立项依据</w:t>
      </w:r>
      <w:r>
        <w:rPr>
          <w:rFonts w:hint="eastAsia" w:cs="仿宋_GB2312"/>
          <w:b/>
          <w:bCs/>
        </w:rPr>
        <w:t>充分性：</w:t>
      </w:r>
      <w:r>
        <w:rPr>
          <w:rFonts w:hint="eastAsia" w:cs="仿宋_GB2312"/>
          <w:color w:val="auto"/>
          <w:lang w:eastAsia="zh-Hans"/>
        </w:rPr>
        <w:t>本项目是由</w:t>
      </w:r>
      <w:r>
        <w:rPr>
          <w:rFonts w:hint="eastAsia" w:cs="仿宋_GB2312"/>
          <w:color w:val="auto"/>
          <w:lang w:val="en-US" w:eastAsia="zh-CN"/>
        </w:rPr>
        <w:t>裕民县巴尔鲁克山国有林管理局林</w:t>
      </w:r>
      <w:r>
        <w:rPr>
          <w:rFonts w:hint="eastAsia" w:cs="仿宋_GB2312"/>
          <w:color w:val="auto"/>
          <w:lang w:eastAsia="zh-Hans"/>
        </w:rPr>
        <w:t>提出申报</w:t>
      </w:r>
      <w:r>
        <w:rPr>
          <w:rFonts w:hint="eastAsia" w:cs="仿宋_GB2312"/>
          <w:color w:val="auto"/>
          <w:lang w:val="en-US" w:eastAsia="zh-Hans"/>
        </w:rPr>
        <w:t>，</w:t>
      </w:r>
      <w:r>
        <w:rPr>
          <w:rFonts w:hint="eastAsia" w:cs="仿宋_GB2312"/>
          <w:color w:val="auto"/>
          <w:lang w:val="en-US" w:eastAsia="zh-CN"/>
        </w:rPr>
        <w:t>地区</w:t>
      </w:r>
      <w:r>
        <w:rPr>
          <w:rFonts w:hint="eastAsia" w:cs="仿宋_GB2312"/>
          <w:color w:val="auto"/>
          <w:lang w:val="en-US" w:eastAsia="zh-Hans"/>
        </w:rPr>
        <w:t>于</w:t>
      </w:r>
      <w:r>
        <w:rPr>
          <w:rFonts w:hint="eastAsia" w:cs="仿宋_GB2312"/>
          <w:color w:val="auto"/>
          <w:lang w:val="en-US" w:eastAsia="zh-CN"/>
        </w:rPr>
        <w:t>2023</w:t>
      </w:r>
      <w:r>
        <w:rPr>
          <w:rFonts w:hint="eastAsia" w:cs="仿宋_GB2312"/>
          <w:color w:val="auto"/>
          <w:lang w:val="en-US" w:eastAsia="zh-Hans"/>
        </w:rPr>
        <w:t>年</w:t>
      </w:r>
      <w:r>
        <w:rPr>
          <w:rFonts w:hint="eastAsia" w:cs="仿宋_GB2312"/>
          <w:color w:val="auto"/>
          <w:lang w:val="en-US" w:eastAsia="zh-CN"/>
        </w:rPr>
        <w:t>3</w:t>
      </w:r>
      <w:r>
        <w:rPr>
          <w:rFonts w:hint="eastAsia" w:cs="仿宋_GB2312"/>
          <w:color w:val="auto"/>
          <w:lang w:val="en-US" w:eastAsia="zh-Hans"/>
        </w:rPr>
        <w:t>月批复，2</w:t>
      </w:r>
      <w:r>
        <w:rPr>
          <w:rFonts w:cs="仿宋_GB2312"/>
          <w:color w:val="auto"/>
          <w:lang w:eastAsia="zh-Hans"/>
        </w:rPr>
        <w:t>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关于提前下达2023年中央财政林业草原生态保护恢复资金建设任务的通知</w:t>
      </w:r>
      <w:r>
        <w:rPr>
          <w:rFonts w:cs="仿宋_GB2312"/>
          <w:color w:val="auto"/>
          <w:lang w:eastAsia="zh-Hans"/>
        </w:rPr>
        <w:t>》（</w:t>
      </w:r>
      <w:r>
        <w:rPr>
          <w:rFonts w:hint="eastAsia" w:cs="仿宋_GB2312"/>
          <w:color w:val="auto"/>
          <w:lang w:val="en-US" w:eastAsia="zh-CN"/>
        </w:rPr>
        <w:t>新林规字【2022】260号</w:t>
      </w:r>
      <w:r>
        <w:rPr>
          <w:rFonts w:hint="eastAsia" w:cs="仿宋_GB2312"/>
          <w:color w:val="auto"/>
          <w:lang w:eastAsia="zh-CN"/>
        </w:rPr>
        <w:t>、</w:t>
      </w:r>
      <w:r>
        <w:rPr>
          <w:rFonts w:hint="eastAsia" w:cs="仿宋_GB2312"/>
          <w:color w:val="auto"/>
          <w:lang w:val="en-US" w:eastAsia="zh-CN"/>
        </w:rPr>
        <w:t>裕财建【2022】23号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5"/>
        <w:pageBreakBefore w:val="0"/>
        <w:widowControl w:val="0"/>
        <w:numPr>
          <w:ilvl w:val="0"/>
          <w:numId w:val="0"/>
        </w:numPr>
        <w:shd w:val="clear"/>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rPr>
        <w:t>经过与分管领导进行沟通、筛选确定经费预算计划，上党委会研究确定最终预算方案</w:t>
      </w:r>
      <w: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shd w:val="clear"/>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shd w:val="clear"/>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w:t>
      </w:r>
      <w:r>
        <w:rPr>
          <w:rFonts w:hint="eastAsia" w:ascii="仿宋_GB2312" w:cs="仿宋_GB2312"/>
          <w:color w:val="auto"/>
          <w:sz w:val="32"/>
          <w:szCs w:val="32"/>
        </w:rPr>
        <w:t>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1.资金到位率：</w:t>
      </w:r>
      <w:r>
        <w:rPr>
          <w:rFonts w:hint="eastAsia"/>
        </w:rPr>
        <w:t>该项目所需财政资金能够足额拨付到位，</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r>
        <w:rPr>
          <w:rFonts w:hint="eastAsia" w:ascii="仿宋_GB2312" w:cs="仿宋_GB2312"/>
          <w:color w:val="FF0000"/>
          <w:sz w:val="32"/>
          <w:szCs w:val="32"/>
        </w:rPr>
        <w:t xml:space="preserve">   </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2.预算执行率</w:t>
      </w:r>
      <w:r>
        <w:rPr>
          <w:rFonts w:hint="eastAsia" w:ascii="仿宋_GB2312" w:hAnsi="Times New Roman" w:cs="仿宋_GB2312"/>
          <w:b/>
          <w:bCs/>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182.97</w:t>
      </w:r>
      <w:r>
        <w:rPr>
          <w:rFonts w:hint="eastAsia" w:ascii="仿宋_GB2312" w:cs="仿宋_GB2312"/>
          <w:color w:val="auto"/>
          <w:sz w:val="32"/>
          <w:szCs w:val="32"/>
          <w:lang w:eastAsia="zh-Hans"/>
        </w:rPr>
        <w:t>万元，实际执行</w:t>
      </w:r>
      <w:r>
        <w:rPr>
          <w:rFonts w:hint="eastAsia" w:ascii="仿宋_GB2312" w:cs="仿宋_GB2312"/>
          <w:color w:val="auto"/>
          <w:sz w:val="32"/>
          <w:szCs w:val="32"/>
          <w:lang w:val="en-US" w:eastAsia="zh-CN"/>
        </w:rPr>
        <w:t>176.64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96.54</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val="en-US" w:eastAsia="zh-CN"/>
        </w:rPr>
        <w:t>剩余资金6.33为招标差价，财政已收回，项目已完工</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项目任务下达后，我单位制定了《</w:t>
      </w:r>
      <w:r>
        <w:rPr>
          <w:rFonts w:hint="eastAsia" w:ascii="仿宋_GB2312" w:cs="仿宋_GB2312"/>
          <w:color w:val="auto"/>
          <w:sz w:val="32"/>
          <w:szCs w:val="32"/>
          <w:lang w:val="en-US" w:eastAsia="zh-CN"/>
        </w:rPr>
        <w:t>预算绩效管理工作实施办法</w:t>
      </w:r>
      <w:r>
        <w:rPr>
          <w:rFonts w:hint="eastAsia" w:ascii="仿宋_GB2312" w:cs="仿宋_GB2312"/>
          <w:color w:val="auto"/>
          <w:sz w:val="32"/>
          <w:szCs w:val="32"/>
          <w:lang w:eastAsia="zh-Hans"/>
        </w:rPr>
        <w:t>》对经费使用进行规范管理，财务制度健全、执行严格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lang w:eastAsia="zh-Hans"/>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分，得</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分。</w:t>
      </w:r>
    </w:p>
    <w:p>
      <w:pPr>
        <w:pageBreakBefore w:val="0"/>
        <w:widowControl w:val="0"/>
        <w:shd w:val="clear"/>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hint="eastAsia" w:ascii="仿宋_GB2312" w:cs="仿宋_GB2312"/>
          <w:color w:val="auto"/>
          <w:sz w:val="32"/>
          <w:szCs w:val="32"/>
          <w:lang w:val="en-US" w:eastAsia="zh-CN"/>
        </w:rPr>
        <w:t>预算绩效管理工作实施办法</w:t>
      </w:r>
      <w:r>
        <w:rPr>
          <w:rFonts w:hint="eastAsia" w:ascii="仿宋_GB2312" w:cs="仿宋_GB2312"/>
          <w:color w:val="auto"/>
          <w:sz w:val="32"/>
          <w:szCs w:val="32"/>
        </w:rPr>
        <w:t>》</w:t>
      </w:r>
      <w:r>
        <w:rPr>
          <w:rFonts w:hint="eastAsia" w:ascii="仿宋_GB2312" w:cs="仿宋_GB2312"/>
          <w:color w:val="auto"/>
          <w:sz w:val="32"/>
          <w:szCs w:val="32"/>
          <w:lang w:eastAsia="zh-Hans"/>
        </w:rPr>
        <w:t>等</w:t>
      </w:r>
      <w:r>
        <w:rPr>
          <w:rFonts w:hint="eastAsia" w:ascii="仿宋_GB2312" w:cs="仿宋_GB2312"/>
          <w:color w:val="auto"/>
          <w:sz w:val="32"/>
          <w:szCs w:val="32"/>
        </w:rPr>
        <w:t>相关</w:t>
      </w:r>
      <w:r>
        <w:rPr>
          <w:rFonts w:hint="eastAsia" w:ascii="仿宋_GB2312" w:cs="仿宋_GB2312"/>
          <w:color w:val="auto"/>
          <w:sz w:val="32"/>
          <w:szCs w:val="32"/>
          <w:lang w:eastAsia="zh-Hans"/>
        </w:rPr>
        <w:t>项目</w:t>
      </w:r>
      <w:r>
        <w:rPr>
          <w:rFonts w:hint="eastAsia"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对财政专项资金进行严格管理，基本做到了专款专用，根据评分标准，该指标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ascii="仿宋_GB2312" w:cs="仿宋_GB2312"/>
          <w:color w:val="auto"/>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w:t>
      </w:r>
      <w:r>
        <w:rPr>
          <w:rFonts w:hint="eastAsia" w:ascii="仿宋_GB2312" w:cs="仿宋_GB2312"/>
          <w:color w:val="auto"/>
          <w:sz w:val="32"/>
          <w:szCs w:val="32"/>
          <w:lang w:val="en-US" w:eastAsia="zh-CN"/>
        </w:rPr>
        <w:t>林管局</w:t>
      </w:r>
      <w:r>
        <w:rPr>
          <w:rFonts w:hint="eastAsia" w:ascii="仿宋_GB2312" w:cs="仿宋_GB2312"/>
          <w:color w:val="auto"/>
          <w:sz w:val="32"/>
          <w:szCs w:val="32"/>
        </w:rPr>
        <w:t>提出经费预算支出可行性方案，报党</w:t>
      </w:r>
      <w:r>
        <w:rPr>
          <w:rFonts w:hint="eastAsia" w:ascii="仿宋_GB2312" w:cs="仿宋_GB2312"/>
          <w:color w:val="auto"/>
          <w:sz w:val="32"/>
          <w:szCs w:val="32"/>
          <w:lang w:val="en-US" w:eastAsia="zh-CN"/>
        </w:rPr>
        <w:t>组</w:t>
      </w:r>
      <w:r>
        <w:rPr>
          <w:rFonts w:hint="eastAsia" w:ascii="仿宋_GB2312" w:cs="仿宋_GB2312"/>
          <w:color w:val="auto"/>
          <w:sz w:val="32"/>
          <w:szCs w:val="32"/>
        </w:rPr>
        <w:t>会议研究执行，财务对资金的使用合法合规性进行监督，年底对资金使用效果进行自评，根据评分标准，该指标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shd w:val="clear"/>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shd w:val="clear"/>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39.65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99.13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w:t>
      </w:r>
      <w:r>
        <w:rPr>
          <w:rFonts w:hint="eastAsia" w:ascii="仿宋_GB2312" w:hAnsi="仿宋_GB2312" w:cs="仿宋_GB2312"/>
          <w:sz w:val="32"/>
          <w:szCs w:val="32"/>
          <w:lang w:eastAsia="zh-Hans"/>
        </w:rPr>
        <w:t>项指标得分如下</w:t>
      </w:r>
      <w:r>
        <w:rPr>
          <w:rFonts w:ascii="仿宋_GB2312" w:hAnsi="仿宋_GB2312" w:cs="仿宋_GB2312"/>
          <w:sz w:val="32"/>
          <w:szCs w:val="32"/>
          <w:lang w:eastAsia="zh-Hans"/>
        </w:rPr>
        <w:t>：</w:t>
      </w:r>
    </w:p>
    <w:p>
      <w:pPr>
        <w:pageBreakBefore w:val="0"/>
        <w:widowControl w:val="0"/>
        <w:shd w:val="clear"/>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shd w:val="clear"/>
        <w:kinsoku/>
        <w:wordWrap/>
        <w:topLinePunct w:val="0"/>
        <w:autoSpaceDE/>
        <w:autoSpaceDN/>
        <w:bidi w:val="0"/>
        <w:spacing w:line="57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“天保工程区面积（万亩）”指标，预期指标值为“=17.97万亩”，根据</w:t>
      </w:r>
      <w:r>
        <w:rPr>
          <w:rFonts w:hint="eastAsia" w:ascii="仿宋_GB2312" w:hAnsi="仿宋_GB2312" w:cs="仿宋_GB2312"/>
          <w:sz w:val="32"/>
          <w:szCs w:val="32"/>
          <w:lang w:val="en-US" w:eastAsia="zh-CN"/>
        </w:rPr>
        <w:t>地区下发</w:t>
      </w:r>
      <w:bookmarkStart w:id="18" w:name="_GoBack"/>
      <w:r>
        <w:rPr>
          <w:rFonts w:hint="eastAsia" w:ascii="仿宋_GB2312" w:hAnsi="仿宋_GB2312" w:cs="仿宋_GB2312"/>
          <w:sz w:val="32"/>
          <w:szCs w:val="32"/>
          <w:lang w:val="en-US" w:eastAsia="zh-CN"/>
        </w:rPr>
        <w:t>天保工程区面</w:t>
      </w:r>
      <w:bookmarkEnd w:id="18"/>
      <w:r>
        <w:rPr>
          <w:rFonts w:hint="eastAsia" w:ascii="仿宋_GB2312" w:hAnsi="仿宋_GB2312" w:cs="仿宋_GB2312"/>
          <w:sz w:val="32"/>
          <w:szCs w:val="32"/>
          <w:lang w:val="en-US" w:eastAsia="zh-CN"/>
        </w:rPr>
        <w:t>积</w:t>
      </w:r>
      <w:r>
        <w:rPr>
          <w:rFonts w:hint="eastAsia" w:ascii="仿宋_GB2312" w:hAnsi="仿宋_GB2312" w:eastAsia="仿宋_GB2312" w:cs="仿宋_GB2312"/>
          <w:sz w:val="32"/>
          <w:szCs w:val="32"/>
          <w:lang w:val="en-US" w:eastAsia="zh-CN"/>
        </w:rPr>
        <w:t>，实际完成管护面积17.9</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万亩，与预期目标一致，根据评分标准，该指标5分，得分5分。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“培训人次”指标，预期指标值为“≥9人”，根据培训方案</w:t>
      </w:r>
      <w:r>
        <w:rPr>
          <w:rFonts w:hint="eastAsia" w:ascii="仿宋_GB2312" w:hAnsi="仿宋_GB2312" w:cs="仿宋_GB2312"/>
          <w:sz w:val="32"/>
          <w:szCs w:val="32"/>
          <w:lang w:val="en-US" w:eastAsia="zh-CN"/>
        </w:rPr>
        <w:t>、签到表</w:t>
      </w:r>
      <w:r>
        <w:rPr>
          <w:rFonts w:hint="eastAsia" w:ascii="仿宋_GB2312" w:hAnsi="仿宋_GB2312" w:eastAsia="仿宋_GB2312" w:cs="仿宋_GB2312"/>
          <w:sz w:val="32"/>
          <w:szCs w:val="32"/>
          <w:lang w:val="en-US" w:eastAsia="zh-CN"/>
        </w:rPr>
        <w:t>，实际培训人数48人，超出预期目标，根据评分标准，该指标5分，得分5分。</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rPr>
        <w:t>2.产出质量</w:t>
      </w:r>
      <w:r>
        <w:rPr>
          <w:rFonts w:hint="eastAsia" w:ascii="仿宋_GB2312" w:hAnsi="仿宋_GB2312" w:eastAsia="仿宋_GB2312" w:cs="仿宋_GB2312"/>
          <w:b/>
          <w:bCs/>
          <w:sz w:val="32"/>
          <w:lang w:eastAsia="zh-CN"/>
        </w:rPr>
        <w:t>（</w:t>
      </w:r>
      <w:r>
        <w:rPr>
          <w:rFonts w:hint="eastAsia" w:ascii="仿宋_GB2312" w:hAnsi="仿宋_GB2312" w:eastAsia="仿宋_GB2312" w:cs="仿宋_GB2312"/>
          <w:b/>
          <w:bCs/>
          <w:sz w:val="32"/>
          <w:lang w:val="en-US" w:eastAsia="zh-CN"/>
        </w:rPr>
        <w:t>10分）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Style w:val="28"/>
          <w:rFonts w:hint="eastAsia" w:ascii="仿宋_GB2312" w:hAnsi="仿宋_GB2312" w:eastAsia="仿宋_GB2312" w:cs="仿宋_GB2312"/>
          <w:color w:val="000000"/>
          <w:sz w:val="32"/>
          <w:szCs w:val="32"/>
          <w:lang w:val="en-US"/>
        </w:rPr>
        <w:t>“天然林管护合格率（%）”指标</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sz w:val="32"/>
          <w:szCs w:val="32"/>
          <w:lang w:val="en-US" w:eastAsia="zh-CN"/>
        </w:rPr>
        <w:t>预期指标值为“≥95%”，根据</w:t>
      </w:r>
      <w:r>
        <w:rPr>
          <w:rFonts w:hint="eastAsia" w:ascii="仿宋_GB2312" w:hAnsi="仿宋_GB2312" w:cs="仿宋_GB2312"/>
          <w:sz w:val="32"/>
          <w:szCs w:val="32"/>
          <w:lang w:val="en-US" w:eastAsia="zh-CN"/>
        </w:rPr>
        <w:t>管护日志撰写</w:t>
      </w:r>
      <w:r>
        <w:rPr>
          <w:rFonts w:hint="eastAsia" w:ascii="仿宋_GB2312" w:hAnsi="仿宋_GB2312" w:eastAsia="仿宋_GB2312" w:cs="仿宋_GB2312"/>
          <w:sz w:val="32"/>
          <w:szCs w:val="32"/>
          <w:lang w:val="en-US" w:eastAsia="zh-CN"/>
        </w:rPr>
        <w:t>情况，管护区域林木生长良好，未发生盗伐、火灾等情况，与预期目标一致，根据评分标准，该指标10分，得分10分。</w:t>
      </w:r>
    </w:p>
    <w:p>
      <w:pPr>
        <w:pStyle w:val="6"/>
        <w:pageBreakBefore w:val="0"/>
        <w:widowControl w:val="0"/>
        <w:shd w:val="clear"/>
        <w:kinsoku/>
        <w:wordWrap/>
        <w:topLinePunct w:val="0"/>
        <w:autoSpaceDE/>
        <w:autoSpaceDN/>
        <w:bidi w:val="0"/>
        <w:spacing w:before="0" w:after="0" w:line="570" w:lineRule="exact"/>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3.产出时效</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10分）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highlight w:val="none"/>
          <w:lang w:val="en-US" w:eastAsia="zh-CN"/>
        </w:rPr>
        <w:t>“项目建设期限”指标，预期指</w:t>
      </w:r>
      <w:r>
        <w:rPr>
          <w:rFonts w:hint="eastAsia" w:ascii="仿宋_GB2312" w:hAnsi="仿宋_GB2312" w:eastAsia="仿宋_GB2312" w:cs="仿宋_GB2312"/>
          <w:b w:val="0"/>
          <w:bCs w:val="0"/>
          <w:sz w:val="32"/>
          <w:szCs w:val="32"/>
          <w:lang w:val="en-US" w:eastAsia="zh-CN"/>
        </w:rPr>
        <w:t>标值为“2023年12月25日”。根据资金支付情况以及结余资金收回报告，该项目于2023年12月已完工，</w:t>
      </w:r>
      <w:r>
        <w:rPr>
          <w:rFonts w:hint="eastAsia" w:ascii="仿宋_GB2312" w:hAnsi="仿宋_GB2312" w:eastAsia="仿宋_GB2312" w:cs="仿宋_GB2312"/>
          <w:sz w:val="32"/>
          <w:szCs w:val="32"/>
          <w:lang w:val="en-US" w:eastAsia="zh-CN"/>
        </w:rPr>
        <w:t>与预期目标一致，根据评分标准，该指标5分，得分5分。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“资金使用及时率”指标，预期指标值为“</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100%”，根据资金支付情况以及结余资金收回报告，</w:t>
      </w:r>
      <w:r>
        <w:rPr>
          <w:rFonts w:hint="eastAsia" w:ascii="仿宋_GB2312" w:hAnsi="仿宋_GB2312" w:eastAsia="仿宋_GB2312" w:cs="仿宋_GB2312"/>
          <w:sz w:val="32"/>
          <w:szCs w:val="32"/>
          <w:lang w:val="en-US" w:eastAsia="zh-CN"/>
        </w:rPr>
        <w:t>与预期目标一致，根据评分标准，该指标5分，得分5分。</w:t>
      </w:r>
    </w:p>
    <w:p>
      <w:pPr>
        <w:pStyle w:val="6"/>
        <w:pageBreakBefore w:val="0"/>
        <w:widowControl w:val="0"/>
        <w:shd w:val="clear"/>
        <w:kinsoku/>
        <w:wordWrap/>
        <w:topLinePunct w:val="0"/>
        <w:autoSpaceDE/>
        <w:autoSpaceDN/>
        <w:bidi w:val="0"/>
        <w:spacing w:before="0" w:after="0" w:line="570" w:lineRule="exact"/>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lang w:val="en-US"/>
        </w:rPr>
        <w:t>产出成本</w:t>
      </w:r>
      <w:r>
        <w:rPr>
          <w:rFonts w:hint="eastAsia" w:ascii="仿宋_GB2312" w:hAnsi="仿宋_GB2312" w:eastAsia="仿宋_GB2312" w:cs="仿宋_GB2312"/>
          <w:bCs/>
          <w:sz w:val="32"/>
          <w:szCs w:val="32"/>
          <w:lang w:val="en-US" w:eastAsia="zh-CN"/>
        </w:rPr>
        <w:t>（10分）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“项目所需成本”指标，预期指标值为“≤182.97万元”，</w:t>
      </w:r>
      <w:r>
        <w:rPr>
          <w:rFonts w:hint="eastAsia" w:ascii="仿宋_GB2312" w:hAnsi="仿宋_GB2312" w:eastAsia="仿宋_GB2312" w:cs="仿宋_GB2312"/>
          <w:b w:val="0"/>
          <w:bCs w:val="0"/>
          <w:sz w:val="32"/>
          <w:szCs w:val="32"/>
          <w:lang w:val="en-US" w:eastAsia="zh-CN"/>
        </w:rPr>
        <w:t>根据项目合同及支付凭证显示，本项目实际支付资金176.64万元、预算执行率96.54%，剩余资金6.33为招标差价，财政已收回，经费支出能控制在年度计划成本范围内，</w:t>
      </w:r>
      <w:r>
        <w:rPr>
          <w:rFonts w:hint="eastAsia" w:ascii="仿宋_GB2312" w:hAnsi="仿宋_GB2312" w:eastAsia="仿宋_GB2312" w:cs="仿宋_GB2312"/>
          <w:sz w:val="32"/>
          <w:szCs w:val="32"/>
          <w:lang w:val="en-US" w:eastAsia="zh-CN"/>
        </w:rPr>
        <w:t>根据评分标准，该指标10分，得分9.65分。</w:t>
      </w:r>
    </w:p>
    <w:p>
      <w:pPr>
        <w:pStyle w:val="4"/>
        <w:pageBreakBefore w:val="0"/>
        <w:widowControl w:val="0"/>
        <w:shd w:val="clear"/>
        <w:kinsoku/>
        <w:wordWrap/>
        <w:topLinePunct w:val="0"/>
        <w:autoSpaceDE/>
        <w:autoSpaceDN/>
        <w:bidi w:val="0"/>
        <w:spacing w:line="570" w:lineRule="exact"/>
        <w:ind w:left="0" w:leftChars="0"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shd w:val="clear"/>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w:t>
      </w:r>
      <w:r>
        <w:rPr>
          <w:rFonts w:hint="eastAsia" w:ascii="仿宋_GB2312"/>
          <w:color w:val="auto"/>
          <w:sz w:val="32"/>
          <w:szCs w:val="32"/>
        </w:rPr>
        <w:t>益</w:t>
      </w:r>
      <w:r>
        <w:rPr>
          <w:rFonts w:hint="eastAsia"/>
          <w:color w:val="auto"/>
          <w:sz w:val="32"/>
          <w:szCs w:val="32"/>
          <w:u w:color="000000"/>
          <w:lang w:val="zh-TW" w:eastAsia="zh-TW"/>
        </w:rPr>
        <w:t>类指标由</w:t>
      </w:r>
      <w:r>
        <w:rPr>
          <w:rFonts w:hint="eastAsia"/>
          <w:color w:val="auto"/>
          <w:sz w:val="32"/>
          <w:szCs w:val="32"/>
          <w:u w:color="000000"/>
          <w:lang w:val="en-US" w:eastAsia="zh-CN"/>
        </w:rPr>
        <w:t>经济效益1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numPr>
          <w:ilvl w:val="0"/>
          <w:numId w:val="0"/>
        </w:numPr>
        <w:shd w:val="clear"/>
        <w:kinsoku/>
        <w:wordWrap/>
        <w:overflowPunct w:val="0"/>
        <w:topLinePunct w:val="0"/>
        <w:autoSpaceDE/>
        <w:autoSpaceDN/>
        <w:bidi w:val="0"/>
        <w:spacing w:line="570" w:lineRule="exact"/>
        <w:ind w:firstLine="643" w:firstLineChars="200"/>
        <w:contextualSpacing/>
        <w:jc w:val="both"/>
        <w:textAlignment w:val="auto"/>
        <w:rPr>
          <w:rFonts w:hint="eastAsia" w:ascii="仿宋_GB2312"/>
          <w:b/>
          <w:bCs/>
          <w:sz w:val="32"/>
          <w:szCs w:val="32"/>
          <w:lang w:val="en-US" w:eastAsia="zh-CN"/>
        </w:rPr>
      </w:pPr>
      <w:r>
        <w:rPr>
          <w:rFonts w:hint="eastAsia" w:ascii="仿宋_GB2312"/>
          <w:b/>
          <w:bCs/>
          <w:sz w:val="32"/>
          <w:szCs w:val="32"/>
          <w:lang w:val="en-US" w:eastAsia="zh-CN"/>
        </w:rPr>
        <w:t>1.</w:t>
      </w:r>
      <w:r>
        <w:rPr>
          <w:rFonts w:hint="eastAsia" w:ascii="仿宋_GB2312"/>
          <w:b/>
          <w:bCs/>
          <w:sz w:val="32"/>
          <w:szCs w:val="32"/>
        </w:rPr>
        <w:t>社会效益指标</w:t>
      </w:r>
      <w:r>
        <w:rPr>
          <w:rFonts w:hint="eastAsia" w:ascii="仿宋_GB2312"/>
          <w:b/>
          <w:bCs/>
          <w:sz w:val="32"/>
          <w:szCs w:val="32"/>
          <w:lang w:val="en-US" w:eastAsia="zh-CN"/>
        </w:rPr>
        <w:t xml:space="preserve">  </w:t>
      </w:r>
    </w:p>
    <w:p>
      <w:pPr>
        <w:pageBreakBefore w:val="0"/>
        <w:widowControl w:val="0"/>
        <w:numPr>
          <w:ilvl w:val="0"/>
          <w:numId w:val="0"/>
        </w:numPr>
        <w:shd w:val="clear"/>
        <w:kinsoku/>
        <w:wordWrap/>
        <w:overflowPunct w:val="0"/>
        <w:topLinePunct w:val="0"/>
        <w:autoSpaceDE/>
        <w:autoSpaceDN/>
        <w:bidi w:val="0"/>
        <w:spacing w:line="570" w:lineRule="exact"/>
        <w:ind w:firstLine="640" w:firstLineChars="200"/>
        <w:contextualSpacing/>
        <w:jc w:val="both"/>
        <w:textAlignment w:val="auto"/>
        <w:rPr>
          <w:rFonts w:hint="default" w:ascii="仿宋_GB2312" w:hAnsi="Times New Roman" w:cs="仿宋_GB2312"/>
          <w:color w:val="auto"/>
          <w:sz w:val="32"/>
          <w:szCs w:val="32"/>
          <w:lang w:val="en-US"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ageBreakBefore w:val="0"/>
        <w:widowControl w:val="0"/>
        <w:numPr>
          <w:ilvl w:val="0"/>
          <w:numId w:val="0"/>
        </w:numPr>
        <w:shd w:val="clear"/>
        <w:kinsoku/>
        <w:wordWrap/>
        <w:overflowPunct w:val="0"/>
        <w:topLinePunct w:val="0"/>
        <w:autoSpaceDE/>
        <w:autoSpaceDN/>
        <w:bidi w:val="0"/>
        <w:spacing w:line="570" w:lineRule="exact"/>
        <w:ind w:firstLine="643" w:firstLineChars="200"/>
        <w:contextualSpacing/>
        <w:jc w:val="both"/>
        <w:textAlignment w:val="auto"/>
        <w:rPr>
          <w:rFonts w:hint="eastAsia" w:ascii="仿宋_GB2312" w:hAnsi="Times New Roman" w:cs="仿宋_GB2312"/>
          <w:b/>
          <w:bCs/>
          <w:color w:val="auto"/>
          <w:sz w:val="32"/>
          <w:szCs w:val="32"/>
          <w:lang w:val="en-US" w:eastAsia="zh-CN"/>
        </w:rPr>
      </w:pPr>
      <w:r>
        <w:rPr>
          <w:rFonts w:hint="eastAsia" w:ascii="仿宋_GB2312" w:cs="仿宋_GB2312"/>
          <w:b/>
          <w:bCs/>
          <w:color w:val="auto"/>
          <w:sz w:val="32"/>
          <w:szCs w:val="32"/>
          <w:lang w:val="en-US" w:eastAsia="zh-CN"/>
        </w:rPr>
        <w:t>2.</w:t>
      </w:r>
      <w:r>
        <w:rPr>
          <w:rFonts w:hint="eastAsia" w:ascii="仿宋_GB2312" w:hAnsi="Times New Roman" w:cs="仿宋_GB2312"/>
          <w:b/>
          <w:bCs/>
          <w:color w:val="auto"/>
          <w:sz w:val="32"/>
          <w:szCs w:val="32"/>
        </w:rPr>
        <w:t>经济效益指标</w:t>
      </w:r>
      <w:r>
        <w:rPr>
          <w:rFonts w:hint="eastAsia" w:ascii="仿宋_GB2312" w:hAnsi="Times New Roman" w:cs="仿宋_GB2312"/>
          <w:b/>
          <w:bCs/>
          <w:color w:val="auto"/>
          <w:sz w:val="32"/>
          <w:szCs w:val="32"/>
          <w:lang w:val="en-US" w:eastAsia="zh-CN"/>
        </w:rPr>
        <w:t xml:space="preserve"> </w:t>
      </w:r>
    </w:p>
    <w:p>
      <w:pPr>
        <w:pageBreakBefore w:val="0"/>
        <w:widowControl w:val="0"/>
        <w:numPr>
          <w:ilvl w:val="0"/>
          <w:numId w:val="0"/>
        </w:numPr>
        <w:shd w:val="clear"/>
        <w:kinsoku/>
        <w:wordWrap/>
        <w:overflowPunct w:val="0"/>
        <w:topLinePunct w:val="0"/>
        <w:autoSpaceDE/>
        <w:autoSpaceDN/>
        <w:bidi w:val="0"/>
        <w:spacing w:line="570" w:lineRule="exact"/>
        <w:ind w:firstLine="640" w:firstLineChars="200"/>
        <w:contextualSpacing/>
        <w:jc w:val="both"/>
        <w:textAlignment w:val="auto"/>
        <w:rPr>
          <w:rFonts w:hint="eastAsia" w:ascii="仿宋_GB2312" w:hAnsi="Times New Roman" w:cs="仿宋_GB2312"/>
          <w:color w:val="auto"/>
          <w:sz w:val="32"/>
          <w:szCs w:val="32"/>
          <w:lang w:val="en-US" w:eastAsia="zh-CN"/>
        </w:rPr>
      </w:pPr>
      <w:r>
        <w:rPr>
          <w:rFonts w:hint="eastAsia" w:cs="Times New Roman"/>
          <w:sz w:val="32"/>
          <w:szCs w:val="32"/>
          <w:lang w:val="en-US" w:eastAsia="zh-CN"/>
        </w:rPr>
        <w:t>“</w:t>
      </w:r>
      <w:r>
        <w:rPr>
          <w:rFonts w:hint="eastAsia" w:ascii="Times New Roman" w:hAnsi="Times New Roman" w:cs="Times New Roman"/>
          <w:sz w:val="32"/>
          <w:szCs w:val="32"/>
          <w:lang w:val="en-US" w:eastAsia="zh-CN"/>
        </w:rPr>
        <w:t>支持县域经济可持续发展</w:t>
      </w:r>
      <w:r>
        <w:rPr>
          <w:rFonts w:hint="eastAsia" w:cs="Times New Roman"/>
          <w:sz w:val="32"/>
          <w:szCs w:val="32"/>
          <w:lang w:val="en-US" w:eastAsia="zh-CN"/>
        </w:rPr>
        <w:t>”指标，预期指标值为“有效支持”</w:t>
      </w:r>
      <w:r>
        <w:rPr>
          <w:rFonts w:hint="eastAsia" w:ascii="Times New Roman" w:hAnsi="Times New Roman" w:cs="Times New Roman"/>
          <w:sz w:val="32"/>
          <w:szCs w:val="32"/>
          <w:lang w:val="en-US" w:eastAsia="zh-CN"/>
        </w:rPr>
        <w:t>。</w:t>
      </w:r>
      <w:r>
        <w:rPr>
          <w:rFonts w:hint="eastAsia" w:ascii="仿宋_GB2312" w:cs="仿宋_GB2312"/>
          <w:color w:val="auto"/>
          <w:sz w:val="32"/>
          <w:szCs w:val="32"/>
          <w:lang w:val="en-US" w:eastAsia="zh-CN"/>
        </w:rPr>
        <w:t>根据项目区</w:t>
      </w:r>
      <w:r>
        <w:rPr>
          <w:rFonts w:hint="eastAsia" w:cs="Times New Roman"/>
          <w:sz w:val="32"/>
          <w:szCs w:val="32"/>
          <w:lang w:val="en-US" w:eastAsia="zh-CN"/>
        </w:rPr>
        <w:t>群众满意度问卷调查结果可知，对县域经济做到了“有效支持”。根据评分标准，该</w:t>
      </w:r>
      <w:r>
        <w:rPr>
          <w:rFonts w:hint="eastAsia" w:ascii="仿宋_GB2312" w:hAnsi="仿宋_GB2312" w:eastAsia="仿宋_GB2312" w:cs="仿宋_GB2312"/>
          <w:b w:val="0"/>
          <w:bCs w:val="0"/>
          <w:sz w:val="32"/>
          <w:szCs w:val="32"/>
          <w:lang w:val="en-US" w:eastAsia="zh-CN"/>
        </w:rPr>
        <w:t>指标20分，得分20分</w:t>
      </w:r>
      <w:r>
        <w:rPr>
          <w:rFonts w:hint="eastAsia" w:cs="Times New Roman"/>
          <w:sz w:val="32"/>
          <w:szCs w:val="32"/>
          <w:lang w:val="en-US" w:eastAsia="zh-CN"/>
        </w:rPr>
        <w:t>。</w:t>
      </w:r>
    </w:p>
    <w:p>
      <w:pPr>
        <w:pageBreakBefore w:val="0"/>
        <w:widowControl w:val="0"/>
        <w:shd w:val="clear"/>
        <w:kinsoku/>
        <w:wordWrap/>
        <w:topLinePunct w:val="0"/>
        <w:autoSpaceDE/>
        <w:autoSpaceDN/>
        <w:bidi w:val="0"/>
        <w:spacing w:line="570" w:lineRule="exact"/>
        <w:ind w:firstLine="643" w:firstLineChars="200"/>
        <w:jc w:val="both"/>
        <w:textAlignment w:val="auto"/>
        <w:rPr>
          <w:rFonts w:hint="eastAsia" w:ascii="仿宋_GB2312" w:hAnsi="仿宋_GB2312" w:cs="仿宋_GB2312"/>
          <w:b/>
          <w:bCs/>
          <w:sz w:val="32"/>
          <w:lang w:val="en-US" w:eastAsia="zh-CN"/>
        </w:rPr>
      </w:pPr>
      <w:r>
        <w:rPr>
          <w:rFonts w:hint="eastAsia" w:ascii="仿宋_GB2312" w:hAnsi="仿宋_GB2312" w:cs="仿宋_GB2312"/>
          <w:b/>
          <w:bCs/>
          <w:sz w:val="32"/>
          <w:lang w:val="en-US" w:eastAsia="zh-CN"/>
        </w:rPr>
        <w:t xml:space="preserve">3.生态效益指标 </w:t>
      </w:r>
    </w:p>
    <w:p>
      <w:pPr>
        <w:pageBreakBefore w:val="0"/>
        <w:widowControl w:val="0"/>
        <w:numPr>
          <w:ilvl w:val="0"/>
          <w:numId w:val="0"/>
        </w:numPr>
        <w:shd w:val="clear"/>
        <w:kinsoku/>
        <w:wordWrap/>
        <w:overflowPunct w:val="0"/>
        <w:topLinePunct w:val="0"/>
        <w:autoSpaceDE/>
        <w:autoSpaceDN/>
        <w:bidi w:val="0"/>
        <w:spacing w:line="570" w:lineRule="exact"/>
        <w:ind w:firstLine="640" w:firstLineChars="200"/>
        <w:contextualSpacing/>
        <w:jc w:val="both"/>
        <w:textAlignment w:val="auto"/>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pageBreakBefore w:val="0"/>
        <w:widowControl w:val="0"/>
        <w:shd w:val="clear"/>
        <w:kinsoku/>
        <w:wordWrap/>
        <w:topLinePunct w:val="0"/>
        <w:autoSpaceDE/>
        <w:autoSpaceDN/>
        <w:bidi w:val="0"/>
        <w:spacing w:line="570" w:lineRule="exact"/>
        <w:ind w:left="0" w:leftChars="0" w:firstLine="643" w:firstLineChars="200"/>
        <w:jc w:val="both"/>
        <w:textAlignment w:val="auto"/>
        <w:rPr>
          <w:rFonts w:hint="eastAsia" w:ascii="楷体_GB2312" w:eastAsia="楷体_GB2312"/>
          <w:szCs w:val="32"/>
          <w:lang w:val="en-US" w:eastAsia="zh-CN"/>
        </w:rPr>
      </w:pPr>
      <w:r>
        <w:rPr>
          <w:rFonts w:hint="eastAsia" w:ascii="楷体_GB2312" w:eastAsia="楷体_GB2312"/>
          <w:szCs w:val="32"/>
          <w:lang w:val="en-US" w:eastAsia="zh-CN"/>
        </w:rPr>
        <w:t>（五）满意度指标完成情况分析（10分）</w:t>
      </w:r>
    </w:p>
    <w:p>
      <w:pPr>
        <w:pageBreakBefore w:val="0"/>
        <w:widowControl w:val="0"/>
        <w:shd w:val="clea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“项目区域群众满意度”指标，预期指标值为“≥95”。根据对项目区群众满意度问卷调查结果，群众满意度95%。根据评分标准，该指标10分，得分10分。</w:t>
      </w:r>
    </w:p>
    <w:p>
      <w:pPr>
        <w:pStyle w:val="3"/>
        <w:pageBreakBefore w:val="0"/>
        <w:widowControl w:val="0"/>
        <w:shd w:val="clear"/>
        <w:kinsoku/>
        <w:wordWrap/>
        <w:topLinePunct w:val="0"/>
        <w:autoSpaceDE/>
        <w:autoSpaceDN/>
        <w:bidi w:val="0"/>
        <w:spacing w:line="570" w:lineRule="exact"/>
        <w:ind w:firstLine="640" w:firstLineChars="200"/>
        <w:jc w:val="both"/>
        <w:textAlignment w:val="auto"/>
        <w:rPr>
          <w:szCs w:val="32"/>
        </w:rPr>
      </w:pPr>
      <w:bookmarkStart w:id="16" w:name="_Toc1921"/>
      <w:bookmarkStart w:id="17" w:name="_Toc28290"/>
      <w:r>
        <w:rPr>
          <w:rFonts w:hint="eastAsia"/>
          <w:szCs w:val="32"/>
        </w:rPr>
        <w:t>五、预算执行进度与绩效指标偏差情况</w:t>
      </w:r>
    </w:p>
    <w:p>
      <w:pPr>
        <w:pStyle w:val="4"/>
        <w:pageBreakBefore w:val="0"/>
        <w:widowControl w:val="0"/>
        <w:numPr>
          <w:ilvl w:val="0"/>
          <w:numId w:val="6"/>
        </w:numPr>
        <w:shd w:val="clea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keepNext w:val="0"/>
        <w:keepLines w:val="0"/>
        <w:pageBreakBefore w:val="0"/>
        <w:widowControl w:val="0"/>
        <w:shd w:val="clea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Times New Roman" w:cs="Times New Roman"/>
          <w:sz w:val="32"/>
          <w:szCs w:val="32"/>
          <w:lang w:val="en-US" w:eastAsia="zh-CN"/>
        </w:rPr>
      </w:pPr>
      <w:r>
        <w:rPr>
          <w:rFonts w:hint="eastAsia" w:ascii="仿宋_GB2312" w:hAnsi="仿宋_GB2312" w:eastAsia="仿宋_GB2312" w:cs="仿宋_GB2312"/>
          <w:color w:val="auto"/>
          <w:sz w:val="32"/>
          <w:szCs w:val="32"/>
          <w:lang w:eastAsia="zh-Hans"/>
        </w:rPr>
        <w:t>天然林资源保护修复2023年</w:t>
      </w:r>
      <w:r>
        <w:rPr>
          <w:rFonts w:hint="eastAsia" w:ascii="仿宋_GB2312" w:hAnsi="仿宋_GB2312" w:eastAsia="仿宋_GB2312" w:cs="仿宋_GB2312"/>
          <w:color w:val="auto"/>
          <w:sz w:val="32"/>
          <w:szCs w:val="32"/>
          <w:lang w:val="en-US" w:eastAsia="zh-CN"/>
        </w:rPr>
        <w:t>度</w:t>
      </w:r>
      <w:r>
        <w:rPr>
          <w:rFonts w:hint="eastAsia" w:ascii="仿宋_GB2312" w:hAnsi="仿宋_GB2312" w:eastAsia="仿宋_GB2312" w:cs="仿宋_GB2312"/>
          <w:color w:val="auto"/>
          <w:sz w:val="32"/>
          <w:szCs w:val="32"/>
        </w:rPr>
        <w:t>项目</w:t>
      </w:r>
      <w:r>
        <w:rPr>
          <w:rFonts w:hint="eastAsia" w:ascii="仿宋_GB2312" w:hAnsi="Times New Roman" w:cs="Times New Roman"/>
          <w:sz w:val="32"/>
          <w:szCs w:val="32"/>
          <w:lang w:eastAsia="zh-Hans"/>
        </w:rPr>
        <w:t>预算金额</w:t>
      </w:r>
      <w:r>
        <w:rPr>
          <w:rFonts w:hint="eastAsia" w:ascii="仿宋_GB2312" w:hAnsi="Times New Roman" w:cs="Times New Roman"/>
          <w:sz w:val="32"/>
          <w:szCs w:val="32"/>
          <w:lang w:val="en-US" w:eastAsia="zh-CN"/>
        </w:rPr>
        <w:t>182.97</w:t>
      </w:r>
      <w:r>
        <w:rPr>
          <w:rFonts w:hint="eastAsia" w:ascii="仿宋_GB2312" w:hAnsi="Times New Roman" w:cs="Times New Roman"/>
          <w:sz w:val="32"/>
          <w:szCs w:val="32"/>
          <w:lang w:eastAsia="zh-Hans"/>
        </w:rPr>
        <w:t>万元，实际到位</w:t>
      </w:r>
      <w:r>
        <w:rPr>
          <w:rFonts w:hint="eastAsia" w:ascii="仿宋_GB2312" w:hAnsi="Times New Roman" w:cs="Times New Roman"/>
          <w:sz w:val="32"/>
          <w:szCs w:val="32"/>
          <w:lang w:val="en-US" w:eastAsia="zh-CN"/>
        </w:rPr>
        <w:t>182.97</w:t>
      </w:r>
      <w:r>
        <w:rPr>
          <w:rFonts w:hint="eastAsia" w:ascii="仿宋_GB2312" w:hAnsi="Times New Roman" w:cs="Times New Roman"/>
          <w:sz w:val="32"/>
          <w:szCs w:val="32"/>
          <w:lang w:eastAsia="zh-Hans"/>
        </w:rPr>
        <w:t>万元，实际支出</w:t>
      </w:r>
      <w:r>
        <w:rPr>
          <w:rFonts w:hint="eastAsia" w:ascii="仿宋_GB2312" w:hAnsi="Times New Roman" w:cs="Times New Roman"/>
          <w:sz w:val="32"/>
          <w:szCs w:val="32"/>
          <w:lang w:val="en-US" w:eastAsia="zh-CN"/>
        </w:rPr>
        <w:t>176.64</w:t>
      </w:r>
      <w:r>
        <w:rPr>
          <w:rFonts w:hint="eastAsia" w:ascii="仿宋_GB2312" w:hAnsi="Times New Roman" w:cs="Times New Roman"/>
          <w:sz w:val="32"/>
          <w:szCs w:val="32"/>
          <w:lang w:eastAsia="zh-Hans"/>
        </w:rPr>
        <w:t>万元，预算执行率为</w:t>
      </w:r>
      <w:r>
        <w:rPr>
          <w:rFonts w:hint="eastAsia" w:ascii="仿宋_GB2312" w:hAnsi="Times New Roman" w:cs="Times New Roman"/>
          <w:sz w:val="32"/>
          <w:szCs w:val="32"/>
          <w:lang w:val="en-US" w:eastAsia="zh-CN"/>
        </w:rPr>
        <w:t>9</w:t>
      </w:r>
      <w:r>
        <w:rPr>
          <w:rFonts w:hint="eastAsia" w:ascii="仿宋_GB2312" w:cs="Times New Roman"/>
          <w:sz w:val="32"/>
          <w:szCs w:val="32"/>
          <w:lang w:val="en-US" w:eastAsia="zh-CN"/>
        </w:rPr>
        <w:t>6.54</w:t>
      </w:r>
      <w:r>
        <w:rPr>
          <w:rFonts w:hint="eastAsia" w:ascii="仿宋_GB2312" w:hAnsi="Times New Roman" w:cs="Times New Roman"/>
          <w:sz w:val="32"/>
          <w:szCs w:val="32"/>
          <w:lang w:eastAsia="zh-Hans"/>
        </w:rPr>
        <w:t>%，项目绩效指标总体完成率为</w:t>
      </w:r>
      <w:r>
        <w:rPr>
          <w:rFonts w:hint="eastAsia" w:ascii="仿宋_GB2312" w:hAnsi="Times New Roman" w:cs="Times New Roman"/>
          <w:sz w:val="32"/>
          <w:szCs w:val="32"/>
          <w:lang w:val="en-US" w:eastAsia="zh-CN"/>
        </w:rPr>
        <w:t>100</w:t>
      </w:r>
      <w:r>
        <w:rPr>
          <w:rFonts w:hint="eastAsia" w:ascii="仿宋_GB2312" w:hAnsi="Times New Roman" w:cs="Times New Roman"/>
          <w:sz w:val="32"/>
          <w:szCs w:val="32"/>
          <w:lang w:eastAsia="zh-Hans"/>
        </w:rPr>
        <w:t>%，偏差率为</w:t>
      </w:r>
      <w:r>
        <w:rPr>
          <w:rFonts w:hint="eastAsia" w:ascii="仿宋_GB2312" w:cs="Times New Roman"/>
          <w:sz w:val="32"/>
          <w:szCs w:val="32"/>
          <w:lang w:val="en-US" w:eastAsia="zh-CN"/>
        </w:rPr>
        <w:t>3.46</w:t>
      </w:r>
      <w:r>
        <w:rPr>
          <w:rFonts w:hint="eastAsia" w:ascii="仿宋_GB2312" w:hAnsi="Times New Roman" w:cs="Times New Roman"/>
          <w:sz w:val="32"/>
          <w:szCs w:val="32"/>
          <w:lang w:eastAsia="zh-Hans"/>
        </w:rPr>
        <w:t>%</w:t>
      </w:r>
      <w:r>
        <w:rPr>
          <w:rFonts w:hint="eastAsia" w:ascii="仿宋_GB2312" w:hAnsi="Times New Roman" w:cs="Times New Roman"/>
          <w:sz w:val="32"/>
          <w:szCs w:val="32"/>
          <w:lang w:eastAsia="zh-CN"/>
        </w:rPr>
        <w:t>，</w:t>
      </w:r>
      <w:r>
        <w:rPr>
          <w:rFonts w:hint="eastAsia" w:ascii="仿宋_GB2312" w:hAnsi="Times New Roman" w:cs="Times New Roman"/>
          <w:sz w:val="32"/>
          <w:szCs w:val="32"/>
          <w:lang w:eastAsia="zh-Hans"/>
        </w:rPr>
        <w:t>偏差原因是</w:t>
      </w:r>
      <w:r>
        <w:rPr>
          <w:rFonts w:hint="eastAsia" w:ascii="仿宋_GB2312" w:hAnsi="Times New Roman" w:cs="Times New Roman"/>
          <w:sz w:val="32"/>
          <w:szCs w:val="32"/>
          <w:lang w:eastAsia="zh-CN"/>
        </w:rPr>
        <w:t>：</w:t>
      </w:r>
      <w:r>
        <w:rPr>
          <w:rFonts w:hint="eastAsia" w:ascii="仿宋_GB2312" w:hAnsi="Times New Roman" w:cs="Times New Roman"/>
          <w:sz w:val="32"/>
          <w:szCs w:val="32"/>
          <w:lang w:val="en-US" w:eastAsia="zh-CN"/>
        </w:rPr>
        <w:t>剩余资金6.3</w:t>
      </w:r>
      <w:r>
        <w:rPr>
          <w:rFonts w:hint="eastAsia" w:ascii="仿宋_GB2312" w:cs="Times New Roman"/>
          <w:sz w:val="32"/>
          <w:szCs w:val="32"/>
          <w:lang w:val="en-US" w:eastAsia="zh-CN"/>
        </w:rPr>
        <w:t>3</w:t>
      </w:r>
      <w:r>
        <w:rPr>
          <w:rFonts w:hint="eastAsia" w:ascii="仿宋_GB2312" w:hAnsi="Times New Roman" w:cs="Times New Roman"/>
          <w:sz w:val="32"/>
          <w:szCs w:val="32"/>
          <w:lang w:val="en-US" w:eastAsia="zh-CN"/>
        </w:rPr>
        <w:t>为招标差价，财政已收回，项目已完工。</w:t>
      </w:r>
    </w:p>
    <w:p>
      <w:pPr>
        <w:pStyle w:val="4"/>
        <w:pageBreakBefore w:val="0"/>
        <w:widowControl w:val="0"/>
        <w:numPr>
          <w:ilvl w:val="0"/>
          <w:numId w:val="6"/>
        </w:numPr>
        <w:shd w:val="clea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bookmarkEnd w:id="16"/>
    <w:bookmarkEnd w:id="17"/>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hAnsi="仿宋_GB2312" w:eastAsia="仿宋_GB2312" w:cs="仿宋_GB2312"/>
          <w:color w:val="auto"/>
          <w:sz w:val="32"/>
          <w:szCs w:val="32"/>
          <w:lang w:eastAsia="zh-Hans"/>
        </w:rPr>
        <w:t>天然林资源保护修复2023年</w:t>
      </w:r>
      <w:r>
        <w:rPr>
          <w:rFonts w:hint="eastAsia" w:ascii="仿宋_GB2312" w:hAnsi="仿宋_GB2312" w:eastAsia="仿宋_GB2312" w:cs="仿宋_GB2312"/>
          <w:color w:val="auto"/>
          <w:sz w:val="32"/>
          <w:szCs w:val="32"/>
          <w:lang w:val="en-US" w:eastAsia="zh-CN"/>
        </w:rPr>
        <w:t>度</w:t>
      </w:r>
      <w:r>
        <w:rPr>
          <w:rFonts w:hint="eastAsia" w:ascii="仿宋_GB2312"/>
          <w:color w:val="auto"/>
          <w:sz w:val="32"/>
          <w:szCs w:val="32"/>
        </w:rPr>
        <w:t>项目当中，</w:t>
      </w:r>
      <w:r>
        <w:rPr>
          <w:rFonts w:hint="eastAsia" w:ascii="仿宋_GB2312"/>
          <w:color w:val="auto"/>
          <w:sz w:val="32"/>
          <w:szCs w:val="32"/>
          <w:lang w:val="en-US" w:eastAsia="zh-CN"/>
        </w:rPr>
        <w:t>经济成本</w:t>
      </w:r>
      <w:r>
        <w:rPr>
          <w:rFonts w:hint="eastAsia" w:ascii="仿宋_GB2312"/>
          <w:color w:val="auto"/>
          <w:sz w:val="32"/>
          <w:szCs w:val="32"/>
        </w:rPr>
        <w:t>指标的实际完成情况未能达到预算指标值，存在偏差的原因如下：</w:t>
      </w:r>
    </w:p>
    <w:p>
      <w:pPr>
        <w:spacing w:line="600" w:lineRule="exact"/>
        <w:ind w:firstLine="640"/>
        <w:rPr>
          <w:rFonts w:ascii="仿宋_GB2312" w:hAnsi="仿宋_GB2312" w:cs="仿宋_GB2312"/>
          <w:b/>
          <w:bCs/>
          <w:color w:val="auto"/>
          <w:sz w:val="32"/>
          <w:szCs w:val="32"/>
        </w:rPr>
      </w:pPr>
      <w:r>
        <w:rPr>
          <w:rFonts w:hint="eastAsia" w:ascii="仿宋_GB2312" w:hAnsi="仿宋_GB2312" w:eastAsia="仿宋_GB2312" w:cs="仿宋_GB2312"/>
          <w:color w:val="auto"/>
          <w:sz w:val="32"/>
          <w:szCs w:val="32"/>
          <w:lang w:val="en-US" w:eastAsia="zh-CN"/>
        </w:rPr>
        <w:t>“项目所需成本”指标，预期指标值为“≤182.97万元”</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eastAsia="仿宋_GB2312" w:cs="仿宋_GB2312"/>
          <w:b w:val="0"/>
          <w:bCs w:val="0"/>
          <w:color w:val="auto"/>
          <w:sz w:val="32"/>
          <w:szCs w:val="32"/>
          <w:lang w:val="en-US" w:eastAsia="zh-CN"/>
        </w:rPr>
        <w:t>176.64万元</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ascii="仿宋_GB2312" w:hAnsi="仿宋_GB2312" w:eastAsia="仿宋_GB2312" w:cs="仿宋_GB2312"/>
          <w:b w:val="0"/>
          <w:bCs w:val="0"/>
          <w:color w:val="auto"/>
          <w:sz w:val="32"/>
          <w:szCs w:val="32"/>
          <w:lang w:val="en-US" w:eastAsia="zh-CN"/>
        </w:rPr>
        <w:t>剩余资金6.33为招标差价，财政已收回</w:t>
      </w:r>
      <w:r>
        <w:rPr>
          <w:rFonts w:ascii="仿宋_GB2312" w:hAnsi="仿宋_GB2312" w:cs="仿宋_GB2312"/>
          <w:color w:val="auto"/>
          <w:sz w:val="32"/>
          <w:szCs w:val="32"/>
        </w:rPr>
        <w:t>。</w:t>
      </w:r>
    </w:p>
    <w:p>
      <w:pPr>
        <w:pStyle w:val="3"/>
        <w:pageBreakBefore w:val="0"/>
        <w:widowControl w:val="0"/>
        <w:shd w:val="clear"/>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4"/>
        <w:pageBreakBefore w:val="0"/>
        <w:widowControl w:val="0"/>
        <w:shd w:val="clear"/>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ageBreakBefore w:val="0"/>
        <w:widowControl w:val="0"/>
        <w:shd w:val="clear"/>
        <w:kinsoku/>
        <w:wordWrap/>
        <w:topLinePunct w:val="0"/>
        <w:autoSpaceDE/>
        <w:autoSpaceDN/>
        <w:bidi w:val="0"/>
        <w:spacing w:line="570" w:lineRule="exact"/>
        <w:ind w:firstLine="640" w:firstLineChars="200"/>
        <w:jc w:val="both"/>
        <w:textAlignment w:val="auto"/>
      </w:pPr>
      <w:r>
        <w:rPr>
          <w:rFonts w:hint="eastAsia" w:ascii="仿宋_GB2312" w:hAnsi="Times New Roman" w:cs="Times New Roman"/>
          <w:color w:val="000000" w:themeColor="text1"/>
          <w:sz w:val="32"/>
          <w:szCs w:val="32"/>
          <w:lang w:eastAsia="zh-CN"/>
          <w14:textFill>
            <w14:solidFill>
              <w14:schemeClr w14:val="tx1"/>
            </w14:solidFill>
          </w14:textFill>
        </w:rPr>
        <w:t>加强项目资金管理。做到手续完备、专账管理、专人负责、账目清楚。</w:t>
      </w:r>
      <w:r>
        <w:rPr>
          <w:rFonts w:hint="eastAsia" w:ascii="仿宋_GB2312" w:hAnsi="Times New Roman" w:cs="Times New Roman"/>
          <w:color w:val="000000" w:themeColor="text1"/>
          <w:sz w:val="32"/>
          <w:szCs w:val="32"/>
          <w:lang w:val="en-US" w:eastAsia="zh-CN"/>
          <w14:textFill>
            <w14:solidFill>
              <w14:schemeClr w14:val="tx1"/>
            </w14:solidFill>
          </w14:textFill>
        </w:rPr>
        <w:t>成立监督机构，落实工程区分级监督管理体制，加强对工程计划、资金、物资、人员的监督管理，实行项目全程监控。</w:t>
      </w:r>
    </w:p>
    <w:p>
      <w:pPr>
        <w:pStyle w:val="24"/>
        <w:spacing w:before="0" w:after="0" w:line="600" w:lineRule="exact"/>
        <w:ind w:left="560"/>
        <w:rPr>
          <w:rFonts w:hint="eastAsia" w:ascii="仿宋_GB2312" w:hAnsi="Times New Roman" w:eastAsia="仿宋_GB2312" w:cs="Times New Roman"/>
          <w:color w:val="000000" w:themeColor="text1"/>
          <w:sz w:val="32"/>
          <w:szCs w:val="32"/>
          <w14:textFill>
            <w14:solidFill>
              <w14:schemeClr w14:val="tx1"/>
            </w14:solidFill>
          </w14:textFill>
        </w:rPr>
      </w:pPr>
      <w:r>
        <w:rPr>
          <w:rFonts w:hint="default" w:ascii="仿宋_GB2312" w:hAnsi="Times New Roman" w:eastAsia="仿宋_GB2312" w:cs="Times New Roman"/>
          <w:color w:val="000000" w:themeColor="text1"/>
          <w:sz w:val="32"/>
          <w:szCs w:val="32"/>
          <w14:textFill>
            <w14:solidFill>
              <w14:schemeClr w14:val="tx1"/>
            </w14:solidFill>
          </w14:textFill>
        </w:rPr>
        <w:t>（二）存在问题及原因分析</w:t>
      </w:r>
    </w:p>
    <w:p>
      <w:pPr>
        <w:pageBreakBefore w:val="0"/>
        <w:widowControl w:val="0"/>
        <w:shd w:val="clear"/>
        <w:kinsoku/>
        <w:wordWrap/>
        <w:topLinePunct w:val="0"/>
        <w:autoSpaceDE/>
        <w:autoSpaceDN/>
        <w:bidi w:val="0"/>
        <w:spacing w:line="570" w:lineRule="exact"/>
        <w:ind w:firstLine="640" w:firstLineChars="200"/>
        <w:jc w:val="both"/>
        <w:textAlignment w:val="auto"/>
        <w:rPr>
          <w:rFonts w:hint="eastAsia" w:ascii="仿宋_GB2312" w:hAnsi="Times New Roman" w:cs="Times New Roman"/>
          <w:color w:val="000000" w:themeColor="text1"/>
          <w:sz w:val="32"/>
          <w:szCs w:val="32"/>
          <w:u w:val="none"/>
          <w:lang w:val="en-US" w:eastAsia="zh-CN"/>
          <w14:textFill>
            <w14:solidFill>
              <w14:schemeClr w14:val="tx1"/>
            </w14:solidFill>
          </w14:textFill>
        </w:rPr>
      </w:pPr>
      <w:r>
        <w:rPr>
          <w:rFonts w:hint="default" w:ascii="仿宋_GB2312" w:cs="Times New Roman"/>
          <w:color w:val="000000" w:themeColor="text1"/>
          <w:sz w:val="32"/>
          <w:szCs w:val="32"/>
          <w:u w:val="none"/>
          <w:lang w:val="en-US" w:eastAsia="zh-CN"/>
          <w14:textFill>
            <w14:solidFill>
              <w14:schemeClr w14:val="tx1"/>
            </w14:solidFill>
          </w14:textFill>
        </w:rPr>
        <w:t>一是对各项指标和指标值要进一步优化、完善，主要在细化量化上改进。二是自我评价还存在自我审定的局限性，会影响评价质量，容易造成问题的疏漏，在客观性和公正性上说服力不强。三是缺少带着问题去评价的意识。</w:t>
      </w:r>
    </w:p>
    <w:p>
      <w:pPr>
        <w:pStyle w:val="3"/>
        <w:pageBreakBefore w:val="0"/>
        <w:widowControl w:val="0"/>
        <w:numPr>
          <w:ilvl w:val="0"/>
          <w:numId w:val="7"/>
        </w:numPr>
        <w:shd w:val="clear"/>
        <w:kinsoku/>
        <w:wordWrap/>
        <w:topLinePunct w:val="0"/>
        <w:autoSpaceDE/>
        <w:autoSpaceDN/>
        <w:bidi w:val="0"/>
        <w:spacing w:line="570" w:lineRule="exact"/>
        <w:ind w:firstLine="640" w:firstLineChars="200"/>
        <w:jc w:val="both"/>
        <w:textAlignment w:val="auto"/>
        <w:rPr>
          <w:rFonts w:hint="eastAsia"/>
          <w:szCs w:val="32"/>
          <w:lang w:val="en-US" w:eastAsia="zh-CN"/>
        </w:rPr>
      </w:pPr>
      <w:r>
        <w:rPr>
          <w:rFonts w:hint="eastAsia"/>
          <w:szCs w:val="32"/>
          <w:lang w:eastAsia="zh-Hans"/>
        </w:rPr>
        <w:t>有关建议</w:t>
      </w:r>
      <w:r>
        <w:rPr>
          <w:rFonts w:hint="eastAsia"/>
          <w:szCs w:val="32"/>
          <w:lang w:val="en-US" w:eastAsia="zh-CN"/>
        </w:rPr>
        <w:t xml:space="preserve">  </w:t>
      </w:r>
    </w:p>
    <w:p>
      <w:pPr>
        <w:pStyle w:val="3"/>
        <w:pageBreakBefore w:val="0"/>
        <w:widowControl w:val="0"/>
        <w:numPr>
          <w:ilvl w:val="0"/>
          <w:numId w:val="0"/>
        </w:numPr>
        <w:shd w:val="clear"/>
        <w:kinsoku/>
        <w:wordWrap/>
        <w:topLinePunct w:val="0"/>
        <w:autoSpaceDE/>
        <w:autoSpaceDN/>
        <w:bidi w:val="0"/>
        <w:spacing w:line="570" w:lineRule="exact"/>
        <w:ind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无</w:t>
      </w:r>
    </w:p>
    <w:p>
      <w:pPr>
        <w:pStyle w:val="3"/>
        <w:pageBreakBefore w:val="0"/>
        <w:widowControl w:val="0"/>
        <w:numPr>
          <w:ilvl w:val="0"/>
          <w:numId w:val="7"/>
        </w:numPr>
        <w:shd w:val="clear"/>
        <w:kinsoku/>
        <w:wordWrap/>
        <w:topLinePunct w:val="0"/>
        <w:autoSpaceDE/>
        <w:autoSpaceDN/>
        <w:bidi w:val="0"/>
        <w:spacing w:line="570" w:lineRule="exact"/>
        <w:ind w:firstLine="640" w:firstLineChars="200"/>
        <w:jc w:val="both"/>
        <w:textAlignment w:val="auto"/>
        <w:rPr>
          <w:rFonts w:hint="eastAsia"/>
          <w:szCs w:val="32"/>
          <w:lang w:val="en-US" w:eastAsia="zh-CN"/>
        </w:rPr>
      </w:pPr>
      <w:r>
        <w:rPr>
          <w:rFonts w:hint="eastAsia"/>
          <w:szCs w:val="32"/>
          <w:lang w:eastAsia="zh-Hans"/>
        </w:rPr>
        <w:t>其他需要说明的问题</w:t>
      </w:r>
      <w:r>
        <w:rPr>
          <w:rFonts w:hint="eastAsia"/>
          <w:szCs w:val="32"/>
          <w:lang w:val="en-US" w:eastAsia="zh-CN"/>
        </w:rPr>
        <w:t xml:space="preserve">  </w:t>
      </w:r>
    </w:p>
    <w:p>
      <w:pPr>
        <w:pStyle w:val="3"/>
        <w:pageBreakBefore w:val="0"/>
        <w:widowControl w:val="0"/>
        <w:numPr>
          <w:ilvl w:val="0"/>
          <w:numId w:val="0"/>
        </w:numPr>
        <w:shd w:val="clear"/>
        <w:kinsoku/>
        <w:wordWrap/>
        <w:topLinePunct w:val="0"/>
        <w:autoSpaceDE/>
        <w:autoSpaceDN/>
        <w:bidi w:val="0"/>
        <w:spacing w:line="570" w:lineRule="exact"/>
        <w:ind w:firstLine="640" w:firstLineChars="200"/>
        <w:jc w:val="both"/>
        <w:textAlignment w:val="auto"/>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C20F896-7AB1-4591-8C3A-F7E6DF2479DB}"/>
  </w:font>
  <w:font w:name="黑体">
    <w:panose1 w:val="02010609060101010101"/>
    <w:charset w:val="86"/>
    <w:family w:val="auto"/>
    <w:pitch w:val="default"/>
    <w:sig w:usb0="800002BF" w:usb1="38CF7CFA" w:usb2="00000016" w:usb3="00000000" w:csb0="00040001" w:csb1="00000000"/>
    <w:embedRegular r:id="rId2" w:fontKey="{5432F8FF-31AD-4124-AA5F-C30577FC23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3166694C-9A23-4E80-8003-F5C169C15748}"/>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embedRegular r:id="rId4" w:fontKey="{0B1F5BCF-495A-42BB-9A54-8EA507658063}"/>
  </w:font>
  <w:font w:name="方正小标宋_GBK">
    <w:panose1 w:val="02000000000000000000"/>
    <w:charset w:val="86"/>
    <w:family w:val="script"/>
    <w:pitch w:val="default"/>
    <w:sig w:usb0="A00002BF" w:usb1="38CF7CFA" w:usb2="00082016" w:usb3="00000000" w:csb0="00040001" w:csb1="00000000"/>
    <w:embedRegular r:id="rId5" w:fontKey="{FB923649-8266-44EE-9A31-8B3202198767}"/>
  </w:font>
  <w:font w:name="楷体_GB2312">
    <w:panose1 w:val="02010609030101010101"/>
    <w:charset w:val="86"/>
    <w:family w:val="modern"/>
    <w:pitch w:val="default"/>
    <w:sig w:usb0="00000001" w:usb1="080E0000" w:usb2="00000000" w:usb3="00000000" w:csb0="00040000" w:csb1="00000000"/>
    <w:embedRegular r:id="rId6" w:fontKey="{1096A3A1-85AB-4A2D-A70B-27CE42552DA9}"/>
  </w:font>
  <w:font w:name="微软雅黑">
    <w:panose1 w:val="020B0503020204020204"/>
    <w:charset w:val="86"/>
    <w:family w:val="swiss"/>
    <w:pitch w:val="default"/>
    <w:sig w:usb0="80000287" w:usb1="2ACF3C50" w:usb2="00000016" w:usb3="00000000" w:csb0="0004001F" w:csb1="00000000"/>
    <w:embedRegular r:id="rId7" w:fontKey="{AFD3E574-A612-448C-97CD-B55C24380B0E}"/>
  </w:font>
  <w:font w:name="仿宋">
    <w:panose1 w:val="02010609060101010101"/>
    <w:charset w:val="86"/>
    <w:family w:val="modern"/>
    <w:pitch w:val="default"/>
    <w:sig w:usb0="800002BF" w:usb1="38CF7CFA" w:usb2="00000016" w:usb3="00000000" w:csb0="00040001" w:csb1="00000000"/>
    <w:embedRegular r:id="rId8" w:fontKey="{B7C75505-16CE-494A-8D65-B3BD1A1DB38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abstractNum w:abstractNumId="6">
    <w:nsid w:val="605E3C7C"/>
    <w:multiLevelType w:val="singleLevel"/>
    <w:tmpl w:val="605E3C7C"/>
    <w:lvl w:ilvl="0" w:tentative="0">
      <w:start w:val="7"/>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NjRkNjhiYTdkNGY0MDdmYTYzN2RlOTE0ZGVkZDU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36E6894"/>
    <w:rsid w:val="0825634E"/>
    <w:rsid w:val="0D2E35AF"/>
    <w:rsid w:val="106B68C8"/>
    <w:rsid w:val="12F1313F"/>
    <w:rsid w:val="16752A55"/>
    <w:rsid w:val="1A5F56EF"/>
    <w:rsid w:val="1AAC069C"/>
    <w:rsid w:val="1E0565AE"/>
    <w:rsid w:val="1F0D396C"/>
    <w:rsid w:val="206F2F92"/>
    <w:rsid w:val="207F2647"/>
    <w:rsid w:val="245E1E24"/>
    <w:rsid w:val="295237FE"/>
    <w:rsid w:val="2D3E2F42"/>
    <w:rsid w:val="2E483E7E"/>
    <w:rsid w:val="2F183841"/>
    <w:rsid w:val="2FF22A22"/>
    <w:rsid w:val="30BF439A"/>
    <w:rsid w:val="30FA3624"/>
    <w:rsid w:val="31920083"/>
    <w:rsid w:val="31920232"/>
    <w:rsid w:val="33944516"/>
    <w:rsid w:val="353D2052"/>
    <w:rsid w:val="35F25212"/>
    <w:rsid w:val="38D64D67"/>
    <w:rsid w:val="3C2D6FA3"/>
    <w:rsid w:val="3D430E91"/>
    <w:rsid w:val="3E2D1506"/>
    <w:rsid w:val="42D6097A"/>
    <w:rsid w:val="43DF5027"/>
    <w:rsid w:val="45356EC9"/>
    <w:rsid w:val="49A75425"/>
    <w:rsid w:val="4AD625B4"/>
    <w:rsid w:val="4CFE5DF2"/>
    <w:rsid w:val="54935589"/>
    <w:rsid w:val="55CF657E"/>
    <w:rsid w:val="56811F6E"/>
    <w:rsid w:val="569A7D15"/>
    <w:rsid w:val="59356FCF"/>
    <w:rsid w:val="59B6573E"/>
    <w:rsid w:val="59F3602E"/>
    <w:rsid w:val="5A0F163F"/>
    <w:rsid w:val="5C43557A"/>
    <w:rsid w:val="5D7317A1"/>
    <w:rsid w:val="5EDF9208"/>
    <w:rsid w:val="5F357D99"/>
    <w:rsid w:val="5F385194"/>
    <w:rsid w:val="5FAFB075"/>
    <w:rsid w:val="624125B1"/>
    <w:rsid w:val="63750198"/>
    <w:rsid w:val="68291A1A"/>
    <w:rsid w:val="690802CD"/>
    <w:rsid w:val="691B1594"/>
    <w:rsid w:val="6ACE77FA"/>
    <w:rsid w:val="6BFC797E"/>
    <w:rsid w:val="6F0D6C22"/>
    <w:rsid w:val="6FD35114"/>
    <w:rsid w:val="6FE70C15"/>
    <w:rsid w:val="6FF38B9B"/>
    <w:rsid w:val="708741CD"/>
    <w:rsid w:val="70F96E79"/>
    <w:rsid w:val="71844269"/>
    <w:rsid w:val="73D9A77D"/>
    <w:rsid w:val="73F90A54"/>
    <w:rsid w:val="7657F55C"/>
    <w:rsid w:val="76D2301A"/>
    <w:rsid w:val="77861774"/>
    <w:rsid w:val="77978BBA"/>
    <w:rsid w:val="77FD56A3"/>
    <w:rsid w:val="786D3A99"/>
    <w:rsid w:val="79300B45"/>
    <w:rsid w:val="7AFFA044"/>
    <w:rsid w:val="7C55A6FE"/>
    <w:rsid w:val="7C5C2225"/>
    <w:rsid w:val="7C7F22A6"/>
    <w:rsid w:val="7C9B5288"/>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8"/>
    <w:autoRedefine/>
    <w:qFormat/>
    <w:uiPriority w:val="0"/>
    <w:pPr>
      <w:spacing w:line="240" w:lineRule="auto"/>
    </w:pPr>
    <w:rPr>
      <w:sz w:val="18"/>
      <w:szCs w:val="18"/>
    </w:rPr>
  </w:style>
  <w:style w:type="paragraph" w:styleId="8">
    <w:name w:val="footer"/>
    <w:basedOn w:val="1"/>
    <w:link w:val="2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autoRedefine/>
    <w:qFormat/>
    <w:uiPriority w:val="0"/>
    <w:pPr>
      <w:spacing w:before="240" w:after="60"/>
      <w:jc w:val="center"/>
      <w:outlineLvl w:val="0"/>
    </w:pPr>
    <w:rPr>
      <w:rFonts w:ascii="Cambria" w:hAnsi="Cambria"/>
      <w:b/>
      <w:bCs/>
      <w:sz w:val="32"/>
      <w:szCs w:val="32"/>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7"/>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8"/>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autoRedefine/>
    <w:qFormat/>
    <w:uiPriority w:val="34"/>
    <w:pPr>
      <w:ind w:firstLine="420"/>
    </w:pPr>
  </w:style>
  <w:style w:type="paragraph" w:customStyle="1" w:styleId="24">
    <w:name w:val="闻政-正文二级标题"/>
    <w:basedOn w:val="4"/>
    <w:next w:val="22"/>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 w:type="character" w:customStyle="1" w:styleId="28">
    <w:name w:val="NormalCharacter"/>
    <w:autoRedefine/>
    <w:semiHidden/>
    <w:qFormat/>
    <w:uiPriority w:val="99"/>
    <w:rPr>
      <w:rFonts w:ascii="Calibri" w:hAnsi="Calibri" w:eastAsia="宋体" w:cs="Calibri"/>
      <w:kern w:val="2"/>
      <w:sz w:val="22"/>
      <w:szCs w:val="22"/>
      <w:lang w:val="en-US" w:eastAsia="zh-CN"/>
    </w:rPr>
  </w:style>
  <w:style w:type="paragraph" w:styleId="2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6</TotalTime>
  <ScaleCrop>false</ScaleCrop>
  <LinksUpToDate>false</LinksUpToDate>
  <CharactersWithSpaces>8796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WPS_1512379333</cp:lastModifiedBy>
  <cp:lastPrinted>2021-03-04T11:49:00Z</cp:lastPrinted>
  <dcterms:modified xsi:type="dcterms:W3CDTF">2024-04-18T10:37:49Z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F063A6BBB65B462B96BE9E760863D326_13</vt:lpwstr>
  </property>
</Properties>
</file>