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黑体" w:hAnsi="黑体" w:eastAsia="黑体"/>
          <w:sz w:val="32"/>
          <w:szCs w:val="32"/>
        </w:rPr>
      </w:pPr>
    </w:p>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裕民县融媒体中心</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spacing w:line="240" w:lineRule="auto"/>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spacing w:line="240" w:lineRule="auto"/>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7"/>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4"/>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spacing w:line="240" w:lineRule="auto"/>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spacing w:line="240" w:lineRule="auto"/>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widowControl/>
        <w:spacing w:line="240" w:lineRule="auto"/>
        <w:ind w:firstLine="640" w:firstLineChars="200"/>
        <w:rPr>
          <w:rFonts w:hint="eastAsia" w:ascii="仿宋_GB2312" w:hAnsi="黑体" w:eastAsia="仿宋_GB2312" w:cs="宋体"/>
          <w:bCs/>
          <w:kern w:val="0"/>
          <w:sz w:val="32"/>
          <w:szCs w:val="32"/>
        </w:rPr>
      </w:pPr>
      <w:bookmarkStart w:id="4" w:name="_Toc31238"/>
      <w:bookmarkStart w:id="5" w:name="_Toc2151"/>
      <w:r>
        <w:rPr>
          <w:rFonts w:hint="eastAsia" w:ascii="仿宋_GB2312" w:hAnsi="黑体" w:eastAsia="仿宋_GB2312" w:cs="宋体"/>
          <w:bCs/>
          <w:kern w:val="0"/>
          <w:sz w:val="32"/>
          <w:szCs w:val="32"/>
        </w:rPr>
        <w:t>1、贯彻执行党和国家有关新闻宣传、广播电视管理等方面的方针政策和法律法规规章;根据国家、自治区、地县总体规划和要求,拟定全县融媒体事业发展规划、计划并组织实施。</w:t>
      </w:r>
    </w:p>
    <w:p>
      <w:pPr>
        <w:widowControl/>
        <w:spacing w:line="240" w:lineRule="auto"/>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2、全面、准确、及时宣传党的路线、方针、政策,充分发挥党和政府的喉舌作用,把握正确舆论导向,坚持正面宣传、团结鼓劲,为全县经济社会发展提供舆论支持。负责全县广播电视、纸媒、网络媒体宣传工作,研究新闻采编报道中的重大问题,组织全局性重大宣传报道活动,不断提高宣传质量。</w:t>
      </w:r>
    </w:p>
    <w:p>
      <w:pPr>
        <w:widowControl/>
        <w:spacing w:line="240" w:lineRule="auto"/>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3、贯彻执行国家广播电视技术政策标准,推动广播影视新媒体发展。负责全县广播电视无线发射传输网络、村村通、户户通、村级大喇叭等的建设、管理工作。</w:t>
      </w:r>
    </w:p>
    <w:p>
      <w:pPr>
        <w:widowControl/>
        <w:spacing w:line="240" w:lineRule="auto"/>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4、负责广播电视重要技术设备监管,加强安全防范,保障广播电视节目安全播出;做好广播、电视等频率频道资源的报批、使用和管理工作,管好摄录、制作、演播、发射等重要技术装备。</w:t>
      </w:r>
    </w:p>
    <w:p>
      <w:pPr>
        <w:widowControl/>
        <w:spacing w:line="240" w:lineRule="auto"/>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5、负责广播电视高新技术的科学研究、开发应用、申报评定和推广应用;负责“裕民政府网”、裕民融媒体客户端APP和“裕民零距离”微信、微博等公众号、手机电视、数字电视、县域平面广告发布端等传统和新兴媒体的开发、推广和管理;负责广播电视、裕民融媒体客户端APP和“裕民零距离”等媒体的广告经营。</w:t>
      </w:r>
    </w:p>
    <w:p>
      <w:pPr>
        <w:widowControl/>
        <w:spacing w:line="240" w:lineRule="auto"/>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6、依法报批本级广播电视机构、节目及新闻网站的建立和撤销。</w:t>
      </w:r>
    </w:p>
    <w:p>
      <w:pPr>
        <w:widowControl/>
        <w:spacing w:line="240" w:lineRule="auto"/>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7、对单位人、财、物实行统一管理,做好县级广播电视系统专项资金、国家资产和各项年度事业经费管理工作。</w:t>
      </w:r>
    </w:p>
    <w:p>
      <w:pPr>
        <w:widowControl/>
        <w:spacing w:line="240" w:lineRule="auto"/>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8、负责广播电视各类节目、纸媒、平面媒体、手机客户端、新闻网站作品的创新创优工作。</w:t>
      </w:r>
    </w:p>
    <w:p>
      <w:pPr>
        <w:widowControl/>
        <w:spacing w:line="240" w:lineRule="auto"/>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9、指导协调县直单位、乡(镇)场的新闻宣传等有关业务工作。</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spacing w:line="240" w:lineRule="auto"/>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裕民县融媒体中心2023年度，实有人数</w:t>
      </w:r>
      <w:r>
        <w:rPr>
          <w:rFonts w:hint="eastAsia" w:ascii="仿宋_GB2312" w:eastAsia="仿宋_GB2312"/>
          <w:sz w:val="32"/>
          <w:szCs w:val="32"/>
          <w:lang w:val="zh-CN"/>
        </w:rPr>
        <w:t>48</w:t>
      </w:r>
      <w:r>
        <w:rPr>
          <w:rFonts w:hint="eastAsia" w:ascii="仿宋_GB2312" w:eastAsia="仿宋_GB2312"/>
          <w:sz w:val="32"/>
          <w:szCs w:val="32"/>
        </w:rPr>
        <w:t>人，其中：在职人员</w:t>
      </w:r>
      <w:r>
        <w:rPr>
          <w:rFonts w:hint="eastAsia" w:ascii="仿宋_GB2312" w:eastAsia="仿宋_GB2312"/>
          <w:sz w:val="32"/>
          <w:szCs w:val="32"/>
          <w:lang w:val="zh-CN"/>
        </w:rPr>
        <w:t>29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19</w:t>
      </w:r>
      <w:r>
        <w:rPr>
          <w:rFonts w:hint="eastAsia" w:ascii="仿宋_GB2312" w:eastAsia="仿宋_GB2312"/>
          <w:sz w:val="32"/>
          <w:szCs w:val="32"/>
        </w:rPr>
        <w:t>人。</w:t>
      </w:r>
    </w:p>
    <w:p>
      <w:pPr>
        <w:widowControl/>
        <w:spacing w:line="240" w:lineRule="auto"/>
        <w:ind w:firstLine="640" w:firstLineChars="200"/>
        <w:rPr>
          <w:rFonts w:hint="eastAsia" w:ascii="仿宋_GB2312" w:hAnsi="宋体" w:eastAsia="仿宋_GB2312" w:cs="宋体"/>
          <w:kern w:val="0"/>
          <w:sz w:val="32"/>
          <w:szCs w:val="32"/>
        </w:rPr>
      </w:pPr>
      <w:bookmarkStart w:id="6" w:name="_Toc29374"/>
      <w:bookmarkStart w:id="7" w:name="_Toc3092"/>
      <w:r>
        <w:rPr>
          <w:rFonts w:hint="eastAsia" w:ascii="仿宋_GB2312" w:hAnsi="宋体" w:eastAsia="仿宋_GB2312" w:cs="宋体"/>
          <w:kern w:val="0"/>
          <w:sz w:val="32"/>
          <w:szCs w:val="32"/>
        </w:rPr>
        <w:t>裕民县融媒体中心无下属预算单位，下设6个处室，分别是：办公室、编辑中心、新闻信息采编中心、广播电视部、传输播出技术部、媒体运营部。</w:t>
      </w:r>
    </w:p>
    <w:p>
      <w:pPr>
        <w:spacing w:line="240" w:lineRule="auto"/>
        <w:jc w:val="center"/>
        <w:outlineLvl w:val="0"/>
        <w:rPr>
          <w:rFonts w:hint="eastAsia" w:ascii="黑体" w:hAnsi="黑体" w:eastAsia="黑体"/>
          <w:sz w:val="32"/>
          <w:szCs w:val="32"/>
        </w:rPr>
      </w:pPr>
      <w:r>
        <w:rPr>
          <w:rFonts w:hint="eastAsia" w:ascii="黑体" w:hAnsi="黑体" w:eastAsia="黑体"/>
          <w:sz w:val="32"/>
          <w:szCs w:val="32"/>
        </w:rPr>
        <w:t>第二部分 部门决算情况说明</w:t>
      </w:r>
      <w:bookmarkEnd w:id="6"/>
      <w:bookmarkEnd w:id="7"/>
    </w:p>
    <w:p>
      <w:pPr>
        <w:spacing w:line="240" w:lineRule="auto"/>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2023年度收入总计602.11万元，</w:t>
      </w:r>
      <w:r>
        <w:rPr>
          <w:rFonts w:hint="eastAsia" w:ascii="仿宋_GB2312" w:eastAsia="仿宋_GB2312"/>
          <w:sz w:val="32"/>
          <w:szCs w:val="32"/>
        </w:rPr>
        <w:t>其中：本年收入合计602.11万元，使用非财政拨款结余0.00万元，年初结转和结余0.00万元。</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2023年度支出总计602.11万元，</w:t>
      </w:r>
      <w:r>
        <w:rPr>
          <w:rFonts w:hint="eastAsia" w:ascii="仿宋_GB2312" w:eastAsia="仿宋_GB2312"/>
          <w:sz w:val="32"/>
          <w:szCs w:val="32"/>
        </w:rPr>
        <w:t>其中：本年支出合计602.11万元，结余分配0.00万元，年末结转和结余0.00万元。</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增加28.34万元</w:t>
      </w:r>
      <w:r>
        <w:rPr>
          <w:rFonts w:hint="eastAsia" w:ascii="仿宋_GB2312" w:eastAsia="仿宋_GB2312"/>
          <w:sz w:val="32"/>
          <w:szCs w:val="32"/>
        </w:rPr>
        <w:t>，</w:t>
      </w:r>
      <w:r>
        <w:rPr>
          <w:rFonts w:hint="eastAsia" w:ascii="仿宋_GB2312" w:eastAsia="仿宋_GB2312"/>
          <w:sz w:val="32"/>
          <w:szCs w:val="32"/>
          <w:lang w:val="zh-CN"/>
        </w:rPr>
        <w:t>增长4.94%</w:t>
      </w:r>
      <w:r>
        <w:rPr>
          <w:rFonts w:hint="eastAsia" w:ascii="仿宋_GB2312" w:eastAsia="仿宋_GB2312"/>
          <w:sz w:val="32"/>
          <w:szCs w:val="32"/>
        </w:rPr>
        <w:t>，主要原因是：2023年新招录1人，在职工资预算增加；工资调资。</w:t>
      </w:r>
    </w:p>
    <w:p>
      <w:pPr>
        <w:spacing w:line="240" w:lineRule="auto"/>
        <w:ind w:firstLine="640" w:firstLineChars="200"/>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本年收入602.11万元</w:t>
      </w:r>
      <w:r>
        <w:rPr>
          <w:rFonts w:hint="eastAsia" w:ascii="仿宋_GB2312" w:eastAsia="仿宋_GB2312"/>
          <w:sz w:val="32"/>
          <w:szCs w:val="32"/>
        </w:rPr>
        <w:t>，其中：财政拨款收入</w:t>
      </w:r>
      <w:r>
        <w:rPr>
          <w:rFonts w:hint="eastAsia" w:ascii="仿宋_GB2312" w:eastAsia="仿宋_GB2312"/>
          <w:sz w:val="32"/>
          <w:szCs w:val="32"/>
          <w:lang w:val="zh-CN"/>
        </w:rPr>
        <w:t>589.06</w:t>
      </w:r>
      <w:r>
        <w:rPr>
          <w:rFonts w:hint="eastAsia" w:ascii="仿宋_GB2312" w:eastAsia="仿宋_GB2312"/>
          <w:sz w:val="32"/>
          <w:szCs w:val="32"/>
        </w:rPr>
        <w:t>万元，占</w:t>
      </w:r>
      <w:r>
        <w:rPr>
          <w:rFonts w:hint="eastAsia" w:ascii="仿宋_GB2312" w:eastAsia="仿宋_GB2312"/>
          <w:sz w:val="32"/>
          <w:szCs w:val="32"/>
          <w:lang w:val="zh-CN"/>
        </w:rPr>
        <w:t>97.83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13.05</w:t>
      </w:r>
      <w:r>
        <w:rPr>
          <w:rFonts w:hint="eastAsia" w:ascii="仿宋_GB2312" w:eastAsia="仿宋_GB2312"/>
          <w:sz w:val="32"/>
          <w:szCs w:val="32"/>
        </w:rPr>
        <w:t>万元，占</w:t>
      </w:r>
      <w:r>
        <w:rPr>
          <w:rFonts w:hint="eastAsia" w:ascii="仿宋_GB2312" w:eastAsia="仿宋_GB2312"/>
          <w:sz w:val="32"/>
          <w:szCs w:val="32"/>
          <w:lang w:val="zh-CN"/>
        </w:rPr>
        <w:t>2.17</w:t>
      </w:r>
      <w:r>
        <w:rPr>
          <w:rFonts w:hint="eastAsia" w:ascii="仿宋_GB2312" w:eastAsia="仿宋_GB2312"/>
          <w:sz w:val="32"/>
          <w:szCs w:val="32"/>
        </w:rPr>
        <w:t>%。</w:t>
      </w:r>
    </w:p>
    <w:p>
      <w:pPr>
        <w:spacing w:line="240" w:lineRule="auto"/>
        <w:ind w:firstLine="640" w:firstLineChars="200"/>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spacing w:line="240" w:lineRule="auto"/>
        <w:ind w:firstLine="643" w:firstLineChars="200"/>
        <w:rPr>
          <w:rFonts w:ascii="仿宋_GB2312" w:eastAsia="仿宋_GB2312"/>
          <w:sz w:val="32"/>
          <w:szCs w:val="32"/>
          <w:lang w:val="zh-CN"/>
        </w:rPr>
      </w:pPr>
      <w:r>
        <w:rPr>
          <w:rFonts w:hint="eastAsia" w:ascii="仿宋_GB2312" w:eastAsia="仿宋_GB2312"/>
          <w:b/>
          <w:bCs/>
          <w:sz w:val="32"/>
          <w:szCs w:val="32"/>
          <w:lang w:val="zh-CN"/>
        </w:rPr>
        <w:t>本年支出602.11万元，</w:t>
      </w:r>
      <w:r>
        <w:rPr>
          <w:rFonts w:hint="eastAsia" w:ascii="仿宋_GB2312" w:eastAsia="仿宋_GB2312"/>
          <w:sz w:val="32"/>
          <w:szCs w:val="32"/>
          <w:lang w:val="zh-CN"/>
        </w:rPr>
        <w:t>其中：基本支出487.86万元，占81.03%；项目支出114.25万元，占18.97%；上缴上级支出0.00万元，占0.00%；经营支出0.00万元，占0.00%；对附属单位补助支出0.00万元，占0.00%。</w:t>
      </w:r>
    </w:p>
    <w:p>
      <w:pPr>
        <w:spacing w:line="240" w:lineRule="auto"/>
        <w:ind w:firstLine="640" w:firstLineChars="200"/>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589.06</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589.06</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589.06</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589.06</w:t>
      </w:r>
      <w:r>
        <w:rPr>
          <w:rFonts w:hint="eastAsia" w:ascii="仿宋_GB2312" w:eastAsia="仿宋_GB2312"/>
          <w:sz w:val="32"/>
          <w:szCs w:val="32"/>
        </w:rPr>
        <w:t>万元。</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lang w:val="zh-CN"/>
        </w:rPr>
        <w:t>增加15.28万元</w:t>
      </w:r>
      <w:r>
        <w:rPr>
          <w:rFonts w:hint="eastAsia" w:ascii="仿宋_GB2312" w:eastAsia="仿宋_GB2312"/>
          <w:sz w:val="32"/>
          <w:szCs w:val="32"/>
        </w:rPr>
        <w:t>，</w:t>
      </w:r>
      <w:r>
        <w:rPr>
          <w:rFonts w:hint="eastAsia" w:ascii="仿宋_GB2312" w:eastAsia="仿宋_GB2312"/>
          <w:sz w:val="32"/>
          <w:szCs w:val="32"/>
          <w:lang w:val="zh-CN"/>
        </w:rPr>
        <w:t>增长2.66%，</w:t>
      </w:r>
      <w:r>
        <w:rPr>
          <w:rFonts w:hint="eastAsia" w:ascii="仿宋_GB2312" w:eastAsia="仿宋_GB2312"/>
          <w:sz w:val="32"/>
          <w:szCs w:val="32"/>
        </w:rPr>
        <w:t>主要原因是：2023年新招录1人，在职工资预算增加；工资调资。</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515.85</w:t>
      </w:r>
      <w:r>
        <w:rPr>
          <w:rFonts w:hint="eastAsia" w:ascii="仿宋_GB2312" w:eastAsia="仿宋_GB2312"/>
          <w:sz w:val="32"/>
          <w:szCs w:val="32"/>
        </w:rPr>
        <w:t>万元，决算数</w:t>
      </w:r>
      <w:r>
        <w:rPr>
          <w:rFonts w:hint="eastAsia" w:ascii="仿宋_GB2312" w:eastAsia="仿宋_GB2312"/>
          <w:sz w:val="32"/>
          <w:szCs w:val="32"/>
          <w:lang w:val="zh-CN"/>
        </w:rPr>
        <w:t>589.06</w:t>
      </w:r>
      <w:r>
        <w:rPr>
          <w:rFonts w:hint="eastAsia" w:ascii="仿宋_GB2312" w:eastAsia="仿宋_GB2312"/>
          <w:sz w:val="32"/>
          <w:szCs w:val="32"/>
        </w:rPr>
        <w:t>万元，预决算差异率14.19%，主要原因是：2023年新招录1人，在职工资预算增加；工资调资。</w:t>
      </w:r>
    </w:p>
    <w:p>
      <w:pPr>
        <w:spacing w:line="240" w:lineRule="auto"/>
        <w:ind w:firstLine="640" w:firstLineChars="200"/>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2023年度一般公共预算财政拨款支出589.06万元，</w:t>
      </w:r>
      <w:r>
        <w:rPr>
          <w:rFonts w:hint="eastAsia" w:ascii="仿宋_GB2312" w:eastAsia="仿宋_GB2312"/>
          <w:sz w:val="32"/>
          <w:szCs w:val="32"/>
        </w:rPr>
        <w:t>占本年支出合计的</w:t>
      </w:r>
      <w:r>
        <w:rPr>
          <w:rFonts w:hint="eastAsia" w:ascii="仿宋_GB2312" w:eastAsia="仿宋_GB2312"/>
          <w:sz w:val="32"/>
          <w:szCs w:val="32"/>
          <w:lang w:val="zh-CN"/>
        </w:rPr>
        <w:t>97.83%</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lang w:val="zh-CN"/>
        </w:rPr>
        <w:t>增加15.28万元</w:t>
      </w:r>
      <w:r>
        <w:rPr>
          <w:rFonts w:hint="eastAsia" w:ascii="仿宋_GB2312" w:eastAsia="仿宋_GB2312"/>
          <w:sz w:val="32"/>
          <w:szCs w:val="32"/>
        </w:rPr>
        <w:t>，</w:t>
      </w:r>
      <w:r>
        <w:rPr>
          <w:rFonts w:hint="eastAsia" w:ascii="仿宋_GB2312" w:eastAsia="仿宋_GB2312"/>
          <w:sz w:val="32"/>
          <w:szCs w:val="32"/>
          <w:lang w:val="zh-CN"/>
        </w:rPr>
        <w:t>增长2.66%，</w:t>
      </w:r>
      <w:r>
        <w:rPr>
          <w:rFonts w:hint="eastAsia" w:ascii="仿宋_GB2312" w:eastAsia="仿宋_GB2312"/>
          <w:sz w:val="32"/>
          <w:szCs w:val="32"/>
        </w:rPr>
        <w:t>主要原因是：2023年新招录1人，在职工资预算增加；工资调资。</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515.85</w:t>
      </w:r>
      <w:r>
        <w:rPr>
          <w:rFonts w:hint="eastAsia" w:ascii="仿宋_GB2312" w:eastAsia="仿宋_GB2312"/>
          <w:sz w:val="32"/>
          <w:szCs w:val="32"/>
        </w:rPr>
        <w:t>万元，决算数</w:t>
      </w:r>
      <w:r>
        <w:rPr>
          <w:rFonts w:hint="eastAsia" w:ascii="仿宋_GB2312" w:eastAsia="仿宋_GB2312"/>
          <w:sz w:val="32"/>
          <w:szCs w:val="32"/>
          <w:lang w:val="zh-CN"/>
        </w:rPr>
        <w:t>589.06</w:t>
      </w:r>
      <w:r>
        <w:rPr>
          <w:rFonts w:hint="eastAsia" w:ascii="仿宋_GB2312" w:eastAsia="仿宋_GB2312"/>
          <w:sz w:val="32"/>
          <w:szCs w:val="32"/>
        </w:rPr>
        <w:t>万元，预决算差异率14.19%，主要原因是：2023年新招录1人，在职工资预算增加；工资调资。</w:t>
      </w:r>
    </w:p>
    <w:p>
      <w:pPr>
        <w:numPr>
          <w:ilvl w:val="0"/>
          <w:numId w:val="1"/>
        </w:num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481.29</w:t>
      </w:r>
      <w:r>
        <w:rPr>
          <w:rFonts w:ascii="仿宋_GB2312" w:eastAsia="仿宋_GB2312"/>
          <w:kern w:val="2"/>
          <w:sz w:val="32"/>
          <w:szCs w:val="32"/>
          <w:lang w:val="zh-CN"/>
        </w:rPr>
        <w:t>万元，占</w:t>
      </w:r>
      <w:r>
        <w:rPr>
          <w:rFonts w:hint="eastAsia" w:ascii="仿宋_GB2312" w:eastAsia="仿宋_GB2312"/>
          <w:kern w:val="2"/>
          <w:sz w:val="32"/>
          <w:szCs w:val="32"/>
          <w:lang w:val="zh-CN"/>
        </w:rPr>
        <w:t>81.70</w:t>
      </w:r>
      <w:r>
        <w:rPr>
          <w:rFonts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54.00</w:t>
      </w:r>
      <w:r>
        <w:rPr>
          <w:rFonts w:ascii="仿宋_GB2312" w:eastAsia="仿宋_GB2312"/>
          <w:kern w:val="2"/>
          <w:sz w:val="32"/>
          <w:szCs w:val="32"/>
          <w:lang w:val="zh-CN"/>
        </w:rPr>
        <w:t>万元，占</w:t>
      </w:r>
      <w:r>
        <w:rPr>
          <w:rFonts w:hint="eastAsia" w:ascii="仿宋_GB2312" w:eastAsia="仿宋_GB2312"/>
          <w:kern w:val="2"/>
          <w:sz w:val="32"/>
          <w:szCs w:val="32"/>
          <w:lang w:val="zh-CN"/>
        </w:rPr>
        <w:t>9.17</w:t>
      </w:r>
      <w:r>
        <w:rPr>
          <w:rFonts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19.62</w:t>
      </w:r>
      <w:r>
        <w:rPr>
          <w:rFonts w:ascii="仿宋_GB2312" w:eastAsia="仿宋_GB2312"/>
          <w:kern w:val="2"/>
          <w:sz w:val="32"/>
          <w:szCs w:val="32"/>
          <w:lang w:val="zh-CN"/>
        </w:rPr>
        <w:t>万元，占</w:t>
      </w:r>
      <w:r>
        <w:rPr>
          <w:rFonts w:hint="eastAsia" w:ascii="仿宋_GB2312" w:eastAsia="仿宋_GB2312"/>
          <w:kern w:val="2"/>
          <w:sz w:val="32"/>
          <w:szCs w:val="32"/>
          <w:lang w:val="zh-CN"/>
        </w:rPr>
        <w:t>3.33</w:t>
      </w:r>
      <w:r>
        <w:rPr>
          <w:rFonts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34.16</w:t>
      </w:r>
      <w:r>
        <w:rPr>
          <w:rFonts w:ascii="仿宋_GB2312" w:eastAsia="仿宋_GB2312"/>
          <w:kern w:val="2"/>
          <w:sz w:val="32"/>
          <w:szCs w:val="32"/>
          <w:lang w:val="zh-CN"/>
        </w:rPr>
        <w:t>万元，占</w:t>
      </w:r>
      <w:r>
        <w:rPr>
          <w:rFonts w:hint="eastAsia" w:ascii="仿宋_GB2312" w:eastAsia="仿宋_GB2312"/>
          <w:kern w:val="2"/>
          <w:sz w:val="32"/>
          <w:szCs w:val="32"/>
          <w:lang w:val="zh-CN"/>
        </w:rPr>
        <w:t>5.80</w:t>
      </w:r>
      <w:r>
        <w:rPr>
          <w:rFonts w:ascii="仿宋_GB2312" w:eastAsia="仿宋_GB2312"/>
          <w:kern w:val="2"/>
          <w:sz w:val="32"/>
          <w:szCs w:val="32"/>
          <w:lang w:val="zh-CN"/>
        </w:rPr>
        <w:t>%；</w:t>
      </w:r>
    </w:p>
    <w:p>
      <w:pPr>
        <w:spacing w:line="240" w:lineRule="auto"/>
        <w:ind w:firstLine="640" w:firstLineChars="200"/>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1.卫生健康支出（类）行政事业单位医疗（款）事业单位医疗（项）:支出决算数为19.62万元，比上年决算增加0.69万元，增长3.66%，主要原因是：2023年新招录1人，缴费比例有所调整</w:t>
      </w:r>
      <w:r>
        <w:rPr>
          <w:rFonts w:hint="eastAsia"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2.文化旅游体育与传媒支出（类）广播电视（款）广播电视事务（项）:支出决算数为367.59万元，比上年决算增加5.57万元，增长1.54%，主要原因是：2023年度调资经费增加，新招录1人</w:t>
      </w:r>
      <w:r>
        <w:rPr>
          <w:rFonts w:hint="eastAsia"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3.住房保障支出（类）住房改革支出（款）住房公积金（项）:支出决算数为34.16万元，比上年决算增加6.44万元，增长23.24%，主要原因是：2023年新招录1人，住房公积金缴费比例调增</w:t>
      </w:r>
      <w:r>
        <w:rPr>
          <w:rFonts w:hint="eastAsia"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4.社会保障和就业支出（类）行政事业单位养老支出（款）事业单位离退休（项）:支出决算数为10.01万元，比上年决算减少2.75万元，下降21.55%，主要原因是：2023年度机关事业单位离退休人员不再缴纳医疗保险</w:t>
      </w:r>
      <w:r>
        <w:rPr>
          <w:rFonts w:hint="eastAsia"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5.文化旅游体育与传媒支出（类）其他文化旅游体育与传媒支出（款）其他文化旅游体育与传媒支出（项）:支出决算数为39.70万元，比上年决算增加4.47万元，增长12.69%，主要原因是：新增</w:t>
      </w:r>
      <w:r>
        <w:rPr>
          <w:rFonts w:hint="eastAsia" w:ascii="仿宋_GB2312" w:eastAsia="仿宋_GB2312"/>
          <w:kern w:val="2"/>
          <w:sz w:val="32"/>
          <w:szCs w:val="32"/>
          <w:lang w:val="zh-CN"/>
        </w:rPr>
        <w:t>上级专项</w:t>
      </w:r>
      <w:r>
        <w:rPr>
          <w:rFonts w:hint="eastAsia" w:ascii="仿宋_GB2312" w:eastAsia="仿宋_GB2312"/>
          <w:kern w:val="2"/>
          <w:sz w:val="32"/>
          <w:szCs w:val="32"/>
        </w:rPr>
        <w:t>sm项目资金列入此款项，较上年全年决算数有所增加。</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6.文化旅游体育与传媒支出（类）广播电视（款）其他广播电视支出（项）:支出决算数为74.00万元，比上年决算增加0.00万元，增长0.00%，主要原因是：上下年无变动</w:t>
      </w:r>
      <w:r>
        <w:rPr>
          <w:rFonts w:hint="eastAsia"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7.社会保障和就业支出（类）行政事业单位养老支出（款）机关事业单位基本养老保险缴费支出（项）:支出决算数为43.99万元，比上年决算增加7.88万元，增长21.82%，主要原因是：2023年度机关事业养老缴费基数调增</w:t>
      </w:r>
      <w:r>
        <w:rPr>
          <w:rFonts w:hint="eastAsia" w:ascii="仿宋_GB2312" w:eastAsia="仿宋_GB2312"/>
          <w:kern w:val="2"/>
          <w:sz w:val="32"/>
          <w:szCs w:val="32"/>
          <w:lang w:val="zh-CN"/>
        </w:rPr>
        <w:t>。</w:t>
      </w:r>
    </w:p>
    <w:p>
      <w:pPr>
        <w:pStyle w:val="9"/>
        <w:widowControl/>
        <w:spacing w:before="0" w:beforeAutospacing="0" w:after="0" w:afterAutospacing="0" w:line="240" w:lineRule="auto"/>
        <w:ind w:firstLine="640" w:firstLineChars="200"/>
        <w:jc w:val="both"/>
        <w:rPr>
          <w:rFonts w:ascii="仿宋_GB2312" w:eastAsia="仿宋_GB2312"/>
          <w:kern w:val="2"/>
          <w:sz w:val="32"/>
          <w:szCs w:val="32"/>
          <w:lang w:val="zh-CN"/>
        </w:rPr>
      </w:pPr>
      <w:r>
        <w:rPr>
          <w:rFonts w:hint="eastAsia" w:ascii="仿宋_GB2312" w:eastAsia="仿宋_GB2312"/>
          <w:kern w:val="2"/>
          <w:sz w:val="32"/>
          <w:szCs w:val="32"/>
        </w:rPr>
        <w:t>8.社会保障和就业支出（类）行政事业单位养老支出（款）机关事业单位职业年金缴费支出（项）:支出决算数为0.00万元，比上年决算减少7.02万元，下降100%，主要原因是：2023年本单位无新增退休人员</w:t>
      </w:r>
      <w:r>
        <w:rPr>
          <w:rFonts w:hint="eastAsia" w:ascii="仿宋_GB2312" w:eastAsia="仿宋_GB2312"/>
          <w:kern w:val="2"/>
          <w:sz w:val="32"/>
          <w:szCs w:val="32"/>
          <w:lang w:val="zh-CN"/>
        </w:rPr>
        <w:t>。</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spacing w:line="240" w:lineRule="auto"/>
        <w:ind w:firstLine="640" w:firstLineChars="200"/>
        <w:rPr>
          <w:rFonts w:ascii="仿宋_GB2312" w:eastAsia="仿宋_GB2312"/>
          <w:sz w:val="32"/>
          <w:szCs w:val="32"/>
        </w:rPr>
      </w:pPr>
      <w:r>
        <w:rPr>
          <w:rFonts w:hint="eastAsia" w:ascii="仿宋_GB2312" w:eastAsia="仿宋_GB2312"/>
          <w:sz w:val="32"/>
          <w:szCs w:val="32"/>
        </w:rPr>
        <w:t>2023年度一般公共预算财政拨款基本支出474.81万元，其中：</w:t>
      </w:r>
      <w:r>
        <w:rPr>
          <w:rFonts w:hint="eastAsia" w:ascii="仿宋_GB2312" w:eastAsia="仿宋_GB2312"/>
          <w:b/>
          <w:bCs/>
          <w:sz w:val="32"/>
          <w:szCs w:val="32"/>
        </w:rPr>
        <w:t>人员经费452.15万元，</w:t>
      </w:r>
      <w:r>
        <w:rPr>
          <w:rFonts w:hint="eastAsia" w:ascii="仿宋_GB2312" w:eastAsia="仿宋_GB2312"/>
          <w:sz w:val="32"/>
          <w:szCs w:val="32"/>
        </w:rPr>
        <w:t>包括：基本工资、津贴补贴、奖金、绩效工资、机关事业单位基本养老保险缴费、职工基本医疗保险缴费、其他社会保障缴费、住房公积金、退休费、医疗费补助、奖励金、其他对个人和家庭的补助。</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公用经费22.66万元，</w:t>
      </w:r>
      <w:r>
        <w:rPr>
          <w:rFonts w:hint="eastAsia" w:ascii="仿宋_GB2312" w:eastAsia="仿宋_GB2312"/>
          <w:sz w:val="32"/>
          <w:szCs w:val="32"/>
        </w:rPr>
        <w:t>包括：办公费、水费、邮电费、取暖费、差旅费、工会经费、公务用车运行维护费、其他交通费用、其他商品和服务支出。</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spacing w:line="240" w:lineRule="auto"/>
        <w:ind w:firstLine="643" w:firstLineChars="200"/>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“三公”经费支出1.64万元，</w:t>
      </w:r>
      <w:r>
        <w:rPr>
          <w:rFonts w:hint="eastAsia" w:ascii="仿宋_GB2312" w:eastAsia="仿宋_GB2312"/>
          <w:sz w:val="32"/>
          <w:szCs w:val="32"/>
        </w:rPr>
        <w:t>比上年</w:t>
      </w:r>
      <w:r>
        <w:rPr>
          <w:rFonts w:hint="eastAsia" w:ascii="仿宋_GB2312" w:eastAsia="仿宋_GB2312"/>
          <w:sz w:val="32"/>
          <w:szCs w:val="32"/>
          <w:lang w:val="zh-CN"/>
        </w:rPr>
        <w:t>增加1.24万元，增长310.00%，主要原因是：</w:t>
      </w:r>
      <w:r>
        <w:rPr>
          <w:rFonts w:hint="eastAsia" w:ascii="仿宋_GB2312" w:eastAsia="仿宋_GB2312"/>
          <w:sz w:val="32"/>
          <w:szCs w:val="32"/>
        </w:rPr>
        <w:t>2022年度本单位压减公务用车维护费，2023年度本单位正常支出公务用车运行及维护费。</w:t>
      </w:r>
      <w:r>
        <w:rPr>
          <w:rFonts w:hint="eastAsia" w:ascii="仿宋_GB2312" w:eastAsia="仿宋_GB2312"/>
          <w:sz w:val="32"/>
          <w:szCs w:val="32"/>
          <w:lang w:val="zh-CN"/>
        </w:rPr>
        <w:t>其中：因公出国（境）费支出0.00万元，占0.00%，比上年增加0.00万元，增长0.00%，主要原因是：</w:t>
      </w:r>
      <w:r>
        <w:rPr>
          <w:rFonts w:hint="eastAsia" w:ascii="仿宋_GB2312" w:eastAsia="仿宋_GB2312"/>
          <w:sz w:val="32"/>
          <w:szCs w:val="32"/>
        </w:rPr>
        <w:t>我单位无因公出国（境）费支出</w:t>
      </w:r>
      <w:r>
        <w:rPr>
          <w:rFonts w:hint="eastAsia" w:ascii="仿宋_GB2312" w:eastAsia="仿宋_GB2312"/>
          <w:sz w:val="32"/>
          <w:szCs w:val="32"/>
          <w:lang w:val="zh-CN"/>
        </w:rPr>
        <w:t>；公务用车购置及运行维护费支出1.64万元，占100.00%，比上年增加1.24万元，增长309.63%，主要原因是：</w:t>
      </w:r>
      <w:r>
        <w:rPr>
          <w:rFonts w:hint="eastAsia" w:ascii="仿宋_GB2312" w:eastAsia="仿宋_GB2312"/>
          <w:sz w:val="32"/>
          <w:szCs w:val="32"/>
        </w:rPr>
        <w:t>2022年度本单位压减公务用车维护费，2023年度本单位正常支出公务用车运行及维护费</w:t>
      </w:r>
      <w:r>
        <w:rPr>
          <w:rFonts w:hint="eastAsia" w:ascii="仿宋_GB2312" w:eastAsia="仿宋_GB2312"/>
          <w:sz w:val="32"/>
          <w:szCs w:val="32"/>
          <w:lang w:val="zh-CN"/>
        </w:rPr>
        <w:t>；公务接待费支出0.00万元，占0.00%，比上年增加0.00万元，增长0.00%，主要原因是：</w:t>
      </w:r>
      <w:r>
        <w:rPr>
          <w:rFonts w:hint="eastAsia" w:ascii="仿宋_GB2312" w:eastAsia="仿宋_GB2312"/>
          <w:sz w:val="32"/>
          <w:szCs w:val="32"/>
        </w:rPr>
        <w:t>我单位无公务接待费支出</w:t>
      </w:r>
      <w:r>
        <w:rPr>
          <w:rFonts w:hint="eastAsia" w:ascii="仿宋_GB2312" w:eastAsia="仿宋_GB2312"/>
          <w:sz w:val="32"/>
          <w:szCs w:val="32"/>
          <w:lang w:val="zh-CN"/>
        </w:rPr>
        <w:t>。</w:t>
      </w:r>
    </w:p>
    <w:p>
      <w:pPr>
        <w:spacing w:line="240" w:lineRule="auto"/>
        <w:ind w:firstLine="643" w:firstLineChars="200"/>
        <w:rPr>
          <w:rFonts w:ascii="仿宋_GB2312" w:eastAsia="仿宋_GB2312"/>
          <w:b/>
          <w:bCs/>
          <w:sz w:val="32"/>
          <w:szCs w:val="32"/>
          <w:lang w:val="zh-CN"/>
        </w:rPr>
      </w:pPr>
      <w:r>
        <w:rPr>
          <w:rFonts w:hint="eastAsia" w:ascii="仿宋_GB2312" w:eastAsia="仿宋_GB2312"/>
          <w:b/>
          <w:bCs/>
          <w:sz w:val="32"/>
          <w:szCs w:val="32"/>
          <w:lang w:val="zh-CN"/>
        </w:rPr>
        <w:t>具体情况如下：</w:t>
      </w:r>
    </w:p>
    <w:p>
      <w:pPr>
        <w:spacing w:line="240" w:lineRule="auto"/>
        <w:ind w:firstLine="640" w:firstLineChars="200"/>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我单位无因公出国（境）费支出</w:t>
      </w:r>
      <w:r>
        <w:rPr>
          <w:rFonts w:hint="eastAsia" w:ascii="仿宋_GB2312" w:eastAsia="仿宋_GB2312"/>
          <w:sz w:val="32"/>
          <w:szCs w:val="32"/>
          <w:lang w:val="zh-CN"/>
        </w:rPr>
        <w:t>。单位全年安排的因公出国（境）团组0个，因公出国（境）0人次。</w:t>
      </w:r>
    </w:p>
    <w:p>
      <w:pPr>
        <w:spacing w:line="240" w:lineRule="auto"/>
        <w:ind w:firstLine="640" w:firstLineChars="200"/>
        <w:rPr>
          <w:rFonts w:ascii="仿宋_GB2312" w:eastAsia="仿宋_GB2312"/>
          <w:sz w:val="32"/>
          <w:szCs w:val="32"/>
        </w:rPr>
      </w:pPr>
      <w:r>
        <w:rPr>
          <w:rFonts w:hint="eastAsia" w:ascii="仿宋_GB2312" w:eastAsia="仿宋_GB2312"/>
          <w:sz w:val="32"/>
          <w:szCs w:val="32"/>
          <w:lang w:val="zh-CN"/>
        </w:rPr>
        <w:t>公务用车购置及运行维护费1.64万元，其中：公务用车购置费0.00万元，公务用车运行维护费1.64万元。公务用车运行维护费开支内容包括车辆燃油费、车辆保险。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1辆，与公务用车保有量差异原因是：</w:t>
      </w:r>
      <w:r>
        <w:rPr>
          <w:rFonts w:hint="eastAsia" w:ascii="仿宋_GB2312" w:eastAsia="仿宋_GB2312"/>
          <w:sz w:val="32"/>
          <w:szCs w:val="32"/>
        </w:rPr>
        <w:t>无差异。</w:t>
      </w:r>
    </w:p>
    <w:p>
      <w:pPr>
        <w:spacing w:line="240" w:lineRule="auto"/>
        <w:ind w:firstLine="640" w:firstLineChars="200"/>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我单位无公务接待费支出</w:t>
      </w:r>
      <w:r>
        <w:rPr>
          <w:rFonts w:hint="eastAsia" w:ascii="仿宋_GB2312" w:eastAsia="仿宋_GB2312"/>
          <w:sz w:val="32"/>
          <w:szCs w:val="32"/>
          <w:lang w:val="zh-CN"/>
        </w:rPr>
        <w:t>。单位全年安排的国内公务接待0批次，0人次。</w:t>
      </w:r>
    </w:p>
    <w:p>
      <w:pPr>
        <w:spacing w:line="240" w:lineRule="auto"/>
        <w:ind w:firstLine="643" w:firstLineChars="200"/>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预算数1.64万元，决算数1.64万元，预决算差异率0.00%，主要原因是：</w:t>
      </w:r>
      <w:r>
        <w:rPr>
          <w:rFonts w:hint="eastAsia" w:ascii="仿宋_GB2312" w:eastAsia="仿宋_GB2312"/>
          <w:sz w:val="32"/>
          <w:szCs w:val="32"/>
        </w:rPr>
        <w:t>财政拨款“三公”经费支出预算数和决算数无变化，预决算无差异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rPr>
        <w:t>我单位未安排因公出国（境）费，预决算无差异</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我单位未安排公务用车购置费，预决算无差异</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预算数1.64万元，决算数1.64万元，预决算差异率0.00%，主要原因是：</w:t>
      </w:r>
      <w:r>
        <w:rPr>
          <w:rFonts w:hint="eastAsia" w:ascii="仿宋_GB2312" w:hAnsi="宋体" w:eastAsia="仿宋_GB2312" w:cs="宋体"/>
          <w:kern w:val="0"/>
          <w:sz w:val="32"/>
          <w:szCs w:val="32"/>
        </w:rPr>
        <w:t>公务用车运行费预算数和决算数无变化，预决算无差异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rPr>
        <w:t>我单位未安排公务接待费，预决算无差异。</w:t>
      </w:r>
    </w:p>
    <w:p>
      <w:pPr>
        <w:spacing w:line="240" w:lineRule="auto"/>
        <w:ind w:firstLine="640" w:firstLineChars="200"/>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spacing w:line="240" w:lineRule="auto"/>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spacing w:line="240" w:lineRule="auto"/>
        <w:ind w:firstLine="640" w:firstLineChars="200"/>
        <w:outlineLvl w:val="1"/>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spacing w:line="240" w:lineRule="auto"/>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spacing w:line="240" w:lineRule="auto"/>
        <w:ind w:firstLine="640" w:firstLineChars="200"/>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spacing w:line="240" w:lineRule="auto"/>
        <w:ind w:firstLine="640" w:firstLineChars="200"/>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spacing w:line="240" w:lineRule="auto"/>
        <w:ind w:firstLine="640" w:firstLineChars="200"/>
        <w:rPr>
          <w:rFonts w:ascii="仿宋_GB2312" w:eastAsia="仿宋_GB2312"/>
          <w:sz w:val="32"/>
          <w:szCs w:val="32"/>
          <w:lang w:val="zh-CN"/>
        </w:rPr>
      </w:pPr>
      <w:bookmarkStart w:id="24" w:name="_Toc26704"/>
      <w:bookmarkStart w:id="25" w:name="_Toc227"/>
      <w:r>
        <w:rPr>
          <w:rFonts w:hint="eastAsia" w:ascii="仿宋_GB2312" w:eastAsia="仿宋_GB2312"/>
          <w:sz w:val="32"/>
          <w:szCs w:val="32"/>
          <w:lang w:val="zh-CN"/>
        </w:rPr>
        <w:t>2023年度</w:t>
      </w:r>
      <w:r>
        <w:rPr>
          <w:rFonts w:hint="eastAsia" w:ascii="仿宋_GB2312" w:eastAsia="仿宋_GB2312"/>
          <w:sz w:val="32"/>
          <w:szCs w:val="32"/>
        </w:rPr>
        <w:t>裕民县融媒体中心</w:t>
      </w:r>
      <w:r>
        <w:rPr>
          <w:rFonts w:hint="eastAsia" w:ascii="仿宋_GB2312" w:eastAsia="仿宋_GB2312"/>
          <w:sz w:val="32"/>
          <w:szCs w:val="32"/>
          <w:lang w:val="zh-CN"/>
        </w:rPr>
        <w:t>（事业单位）公用经费支出22.66万元，比上年减少5.00万元，下降18.09%，主要原因是：</w:t>
      </w:r>
      <w:r>
        <w:rPr>
          <w:rFonts w:hint="eastAsia" w:ascii="仿宋_GB2312" w:eastAsia="仿宋_GB2312"/>
          <w:sz w:val="32"/>
          <w:szCs w:val="32"/>
        </w:rPr>
        <w:t>2023年度本单位压缩公用经费开支</w:t>
      </w:r>
      <w:r>
        <w:rPr>
          <w:rFonts w:hint="eastAsia" w:ascii="仿宋_GB2312" w:eastAsia="仿宋_GB2312"/>
          <w:sz w:val="32"/>
          <w:szCs w:val="32"/>
          <w:lang w:val="zh-CN"/>
        </w:rPr>
        <w:t>。</w:t>
      </w:r>
    </w:p>
    <w:p>
      <w:pPr>
        <w:spacing w:line="240" w:lineRule="auto"/>
        <w:ind w:firstLine="640" w:firstLineChars="200"/>
        <w:outlineLvl w:val="2"/>
        <w:rPr>
          <w:rFonts w:eastAsia="黑体"/>
          <w:sz w:val="32"/>
          <w:szCs w:val="30"/>
          <w:lang w:val="zh-CN"/>
        </w:rPr>
      </w:pPr>
      <w:r>
        <w:rPr>
          <w:rFonts w:hint="eastAsia" w:eastAsia="黑体"/>
          <w:sz w:val="32"/>
          <w:szCs w:val="30"/>
          <w:lang w:val="zh-CN"/>
        </w:rPr>
        <w:t>（二）政府采购情况</w:t>
      </w:r>
      <w:bookmarkEnd w:id="24"/>
      <w:bookmarkEnd w:id="25"/>
    </w:p>
    <w:p>
      <w:pPr>
        <w:spacing w:line="240" w:lineRule="auto"/>
        <w:ind w:firstLine="640" w:firstLineChars="200"/>
        <w:rPr>
          <w:rFonts w:ascii="仿宋_GB2312" w:eastAsia="仿宋_GB2312"/>
          <w:sz w:val="32"/>
          <w:szCs w:val="32"/>
          <w:lang w:val="zh-CN"/>
        </w:rPr>
      </w:pPr>
      <w:r>
        <w:rPr>
          <w:rFonts w:hint="eastAsia" w:ascii="仿宋_GB2312" w:eastAsia="仿宋_GB2312"/>
          <w:sz w:val="32"/>
          <w:szCs w:val="32"/>
          <w:lang w:val="zh-CN"/>
        </w:rPr>
        <w:t>2023年度政府采购支出总额51.97万元，其中：政府采购货物支出51.83万元、政府采购工程支出0.00万元、政府采购服务支出0.14万元。</w:t>
      </w:r>
    </w:p>
    <w:p>
      <w:pPr>
        <w:spacing w:line="240" w:lineRule="auto"/>
        <w:ind w:firstLine="640" w:firstLineChars="200"/>
        <w:rPr>
          <w:rFonts w:ascii="仿宋_GB2312" w:eastAsia="仿宋_GB2312"/>
          <w:sz w:val="32"/>
          <w:szCs w:val="32"/>
        </w:rPr>
      </w:pPr>
      <w:r>
        <w:rPr>
          <w:rFonts w:hint="eastAsia" w:ascii="仿宋_GB2312" w:eastAsia="仿宋_GB2312"/>
          <w:sz w:val="32"/>
          <w:szCs w:val="32"/>
          <w:lang w:val="zh-CN"/>
        </w:rPr>
        <w:t>授予中小企业合同金额51.97万元，占政府采购支出总额的100.00</w:t>
      </w:r>
      <w:r>
        <w:rPr>
          <w:rFonts w:ascii="仿宋_GB2312" w:eastAsia="仿宋_GB2312"/>
          <w:sz w:val="32"/>
          <w:szCs w:val="32"/>
          <w:lang w:val="zh-CN"/>
        </w:rPr>
        <w:t>%</w:t>
      </w:r>
      <w:r>
        <w:rPr>
          <w:rFonts w:hint="eastAsia" w:ascii="仿宋_GB2312" w:eastAsia="仿宋_GB2312"/>
          <w:sz w:val="32"/>
          <w:szCs w:val="32"/>
          <w:lang w:val="zh-CN"/>
        </w:rPr>
        <w:t>，其中：授予小微企业合同金额51.97万元，占政府采购支出总额的100.00</w:t>
      </w:r>
      <w:r>
        <w:rPr>
          <w:rFonts w:ascii="仿宋_GB2312" w:eastAsia="仿宋_GB2312"/>
          <w:sz w:val="32"/>
          <w:szCs w:val="32"/>
          <w:lang w:val="zh-CN"/>
        </w:rPr>
        <w:t>%</w:t>
      </w:r>
      <w:r>
        <w:rPr>
          <w:rFonts w:hint="eastAsia" w:ascii="仿宋_GB2312" w:eastAsia="仿宋_GB2312"/>
          <w:sz w:val="32"/>
          <w:szCs w:val="32"/>
        </w:rPr>
        <w:t>。</w:t>
      </w:r>
    </w:p>
    <w:p>
      <w:pPr>
        <w:spacing w:line="240" w:lineRule="auto"/>
        <w:ind w:firstLine="640" w:firstLineChars="200"/>
        <w:outlineLvl w:val="2"/>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spacing w:line="240" w:lineRule="auto"/>
        <w:ind w:firstLine="640" w:firstLineChars="200"/>
        <w:rPr>
          <w:rFonts w:ascii="仿宋_GB2312" w:eastAsia="仿宋_GB2312"/>
          <w:sz w:val="32"/>
          <w:szCs w:val="32"/>
          <w:lang w:val="zh-CN"/>
        </w:rPr>
      </w:pPr>
      <w:r>
        <w:rPr>
          <w:rFonts w:hint="eastAsia" w:ascii="仿宋_GB2312" w:eastAsia="仿宋_GB2312"/>
          <w:sz w:val="32"/>
          <w:szCs w:val="32"/>
        </w:rPr>
        <w:t>截至2023</w:t>
      </w:r>
      <w:r>
        <w:rPr>
          <w:rFonts w:hint="eastAsia" w:ascii="仿宋_GB2312" w:eastAsia="仿宋_GB2312"/>
          <w:sz w:val="32"/>
          <w:szCs w:val="32"/>
          <w:lang w:val="zh-CN"/>
        </w:rPr>
        <w:t>年</w:t>
      </w:r>
      <w:r>
        <w:rPr>
          <w:rFonts w:hint="eastAsia" w:ascii="仿宋_GB2312" w:eastAsia="仿宋_GB2312"/>
          <w:sz w:val="32"/>
          <w:szCs w:val="32"/>
        </w:rPr>
        <w:t>12月31日</w:t>
      </w:r>
      <w:r>
        <w:rPr>
          <w:rFonts w:hint="eastAsia" w:ascii="仿宋_GB2312" w:eastAsia="仿宋_GB2312"/>
          <w:sz w:val="32"/>
          <w:szCs w:val="32"/>
          <w:lang w:val="zh-CN"/>
        </w:rPr>
        <w:t>，</w:t>
      </w:r>
      <w:r>
        <w:rPr>
          <w:rFonts w:hint="eastAsia" w:ascii="仿宋_GB2312" w:eastAsia="仿宋_GB2312"/>
          <w:sz w:val="32"/>
          <w:szCs w:val="32"/>
        </w:rPr>
        <w:t>固定资产原值</w:t>
      </w:r>
      <w:r>
        <w:rPr>
          <w:rFonts w:hint="eastAsia" w:ascii="仿宋_GB2312" w:eastAsia="仿宋_GB2312"/>
          <w:sz w:val="32"/>
          <w:szCs w:val="32"/>
          <w:lang w:val="zh-CN"/>
        </w:rPr>
        <w:t>1,436.49</w:t>
      </w:r>
      <w:r>
        <w:rPr>
          <w:rFonts w:hint="eastAsia" w:ascii="仿宋_GB2312" w:eastAsia="仿宋_GB2312"/>
          <w:sz w:val="32"/>
          <w:szCs w:val="32"/>
        </w:rPr>
        <w:t>万元，房</w:t>
      </w:r>
      <w:r>
        <w:rPr>
          <w:rFonts w:hint="eastAsia" w:ascii="仿宋_GB2312" w:eastAsia="仿宋_GB2312"/>
          <w:sz w:val="32"/>
          <w:szCs w:val="32"/>
          <w:lang w:val="zh-CN"/>
        </w:rPr>
        <w:t>屋3526.86平方米，价值644.65万元。车辆1辆，价值18.23万元，其中：副部（省）级及以上领导用车0辆、主要</w:t>
      </w:r>
      <w:r>
        <w:rPr>
          <w:rFonts w:hint="eastAsia" w:ascii="仿宋_GB2312" w:eastAsia="仿宋_GB2312"/>
          <w:sz w:val="32"/>
          <w:szCs w:val="32"/>
        </w:rPr>
        <w:t>负责人</w:t>
      </w:r>
      <w:r>
        <w:rPr>
          <w:rFonts w:hint="eastAsia" w:ascii="仿宋_GB2312" w:eastAsia="仿宋_GB2312"/>
          <w:sz w:val="32"/>
          <w:szCs w:val="32"/>
          <w:lang w:val="zh-CN"/>
        </w:rPr>
        <w:t>用车0辆、机要通信用车0辆、应急保障用车0辆、执法执勤用车0辆、特种专业技术用车0辆、离退休干部</w:t>
      </w:r>
      <w:r>
        <w:rPr>
          <w:rFonts w:hint="eastAsia" w:ascii="仿宋_GB2312" w:eastAsia="仿宋_GB2312"/>
          <w:sz w:val="32"/>
          <w:szCs w:val="32"/>
        </w:rPr>
        <w:t>服务</w:t>
      </w:r>
      <w:r>
        <w:rPr>
          <w:rFonts w:hint="eastAsia" w:ascii="仿宋_GB2312" w:eastAsia="仿宋_GB2312"/>
          <w:sz w:val="32"/>
          <w:szCs w:val="32"/>
          <w:lang w:val="zh-CN"/>
        </w:rPr>
        <w:t>用车0辆、其他用车1辆，其他用车主要是：日常采集新闻信息用车；单价100万元（含）以上设备（不含车辆）0</w:t>
      </w:r>
      <w:r>
        <w:rPr>
          <w:rFonts w:hint="eastAsia" w:ascii="仿宋_GB2312" w:eastAsia="仿宋_GB2312"/>
          <w:sz w:val="32"/>
          <w:szCs w:val="32"/>
        </w:rPr>
        <w:t>台</w:t>
      </w:r>
      <w:r>
        <w:rPr>
          <w:rFonts w:hint="eastAsia" w:ascii="仿宋_GB2312" w:eastAsia="仿宋_GB2312"/>
          <w:sz w:val="32"/>
          <w:szCs w:val="32"/>
          <w:lang w:val="zh-CN"/>
        </w:rPr>
        <w:t>。</w:t>
      </w:r>
    </w:p>
    <w:p>
      <w:pPr>
        <w:spacing w:line="240" w:lineRule="auto"/>
        <w:ind w:firstLine="640" w:firstLineChars="200"/>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spacing w:line="240" w:lineRule="auto"/>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根据预算绩效管理要求，我单位2023年度预算绩效管理整体支出绩效自评表1个，全年预算总额</w:t>
      </w:r>
      <w:r>
        <w:rPr>
          <w:rFonts w:hint="eastAsia" w:ascii="仿宋_GB2312" w:eastAsia="仿宋_GB2312"/>
          <w:sz w:val="32"/>
          <w:szCs w:val="32"/>
          <w:lang w:val="en-US" w:eastAsia="zh-CN"/>
        </w:rPr>
        <w:t>602.11</w:t>
      </w:r>
      <w:r>
        <w:rPr>
          <w:rFonts w:hint="eastAsia" w:ascii="仿宋_GB2312" w:eastAsia="仿宋_GB2312"/>
          <w:sz w:val="32"/>
          <w:szCs w:val="32"/>
        </w:rPr>
        <w:t>万元，实际执行总额602.11万元；预算绩效评价项目5个，全年预算数114.25万元，全年执行数114.25万元。预算绩效管理取得的成效：一是预算安排的基本支出保障了我单位正常运转；二是保障了我单位各项业务工作的顺利开展。发现的问题及原因：一是我单位部分项目推进速度较慢，</w:t>
      </w:r>
      <w:bookmarkStart w:id="48" w:name="_GoBack"/>
      <w:bookmarkEnd w:id="48"/>
      <w:r>
        <w:rPr>
          <w:rFonts w:hint="eastAsia" w:ascii="仿宋_GB2312" w:eastAsia="仿宋_GB2312"/>
          <w:sz w:val="32"/>
          <w:szCs w:val="32"/>
        </w:rPr>
        <w:t>影响资金的执行率；二是预算安排跟决算有出入。下一步改进措施：一是大力推进工程类项目进度，提高资金执行率；二是合理安排预算，充分发挥资金使用效益。具体项目自评情况附绩效自评表及自评报告。</w:t>
      </w:r>
    </w:p>
    <w:p>
      <w:pPr>
        <w:spacing w:line="240" w:lineRule="auto"/>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spacing w:line="240" w:lineRule="auto"/>
        <w:ind w:firstLine="640" w:firstLineChars="200"/>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2023年度本单位SM项目2个，涉及金额5.52万元，不予公开绩效自评表。</w:t>
      </w:r>
    </w:p>
    <w:p>
      <w:pPr>
        <w:spacing w:line="240" w:lineRule="auto"/>
        <w:ind w:firstLine="640" w:firstLineChars="200"/>
        <w:jc w:val="left"/>
        <w:rPr>
          <w:rFonts w:hint="eastAsia" w:ascii="仿宋_GB2312" w:hAnsi="仿宋_GB2312" w:eastAsia="仿宋_GB2312" w:cs="仿宋_GB2312"/>
          <w:kern w:val="0"/>
          <w:sz w:val="32"/>
          <w:szCs w:val="32"/>
          <w:lang w:eastAsia="zh-Hans"/>
        </w:rPr>
      </w:pPr>
    </w:p>
    <w:p>
      <w:pPr>
        <w:spacing w:line="240" w:lineRule="auto"/>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spacing w:line="240" w:lineRule="auto"/>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spacing w:line="240" w:lineRule="auto"/>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spacing w:line="240" w:lineRule="auto"/>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spacing w:line="240" w:lineRule="auto"/>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spacing w:line="240" w:lineRule="auto"/>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spacing w:line="240" w:lineRule="auto"/>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spacing w:line="240" w:lineRule="auto"/>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spacing w:line="240" w:lineRule="auto"/>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spacing w:line="240" w:lineRule="auto"/>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spacing w:line="240" w:lineRule="auto"/>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spacing w:line="240" w:lineRule="auto"/>
        <w:ind w:firstLine="640" w:firstLineChars="200"/>
        <w:rPr>
          <w:rFonts w:ascii="仿宋_GB2312" w:eastAsia="仿宋_GB2312"/>
          <w:sz w:val="32"/>
          <w:szCs w:val="32"/>
        </w:rPr>
      </w:pPr>
    </w:p>
    <w:p>
      <w:pPr>
        <w:spacing w:line="240" w:lineRule="auto"/>
        <w:ind w:firstLine="640" w:firstLineChars="200"/>
        <w:outlineLvl w:val="1"/>
        <w:rPr>
          <w:rFonts w:hint="eastAsia" w:ascii="黑体" w:hAnsi="黑体" w:eastAsia="黑体" w:cs="宋体"/>
          <w:bCs/>
          <w:kern w:val="0"/>
          <w:sz w:val="32"/>
          <w:szCs w:val="32"/>
        </w:rPr>
      </w:pPr>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0ZDdiYjQ3OTI3ZDY2NGQ4ZThiODI0N2YyOTY1MjAifQ=="/>
    <w:docVar w:name="KSO_WPS_MARK_KEY" w:val="41ee2a61-2d54-4f93-83be-afdb9a40d732"/>
  </w:docVars>
  <w:rsids>
    <w:rsidRoot w:val="002506A5"/>
    <w:rsid w:val="000C7A16"/>
    <w:rsid w:val="00137526"/>
    <w:rsid w:val="00213C59"/>
    <w:rsid w:val="002506A5"/>
    <w:rsid w:val="003210CE"/>
    <w:rsid w:val="004B22A2"/>
    <w:rsid w:val="008023C2"/>
    <w:rsid w:val="00A76F37"/>
    <w:rsid w:val="00B70D59"/>
    <w:rsid w:val="00F52A8D"/>
    <w:rsid w:val="01616948"/>
    <w:rsid w:val="019404F8"/>
    <w:rsid w:val="01AB10B1"/>
    <w:rsid w:val="026B0EA7"/>
    <w:rsid w:val="02BD3108"/>
    <w:rsid w:val="02F73D26"/>
    <w:rsid w:val="034D4FEF"/>
    <w:rsid w:val="03565846"/>
    <w:rsid w:val="035D1785"/>
    <w:rsid w:val="039F47CE"/>
    <w:rsid w:val="03E05CE8"/>
    <w:rsid w:val="03F973EE"/>
    <w:rsid w:val="043E5B56"/>
    <w:rsid w:val="04C04386"/>
    <w:rsid w:val="04FA68C4"/>
    <w:rsid w:val="053F5AE6"/>
    <w:rsid w:val="05750A4B"/>
    <w:rsid w:val="057C0B0F"/>
    <w:rsid w:val="05B161E7"/>
    <w:rsid w:val="05EF4B48"/>
    <w:rsid w:val="05F76ECA"/>
    <w:rsid w:val="06792773"/>
    <w:rsid w:val="07093795"/>
    <w:rsid w:val="07804730"/>
    <w:rsid w:val="079052BE"/>
    <w:rsid w:val="07B10027"/>
    <w:rsid w:val="08145C21"/>
    <w:rsid w:val="08422688"/>
    <w:rsid w:val="085854ED"/>
    <w:rsid w:val="0879188F"/>
    <w:rsid w:val="08A0354D"/>
    <w:rsid w:val="08AE360C"/>
    <w:rsid w:val="08CD4C49"/>
    <w:rsid w:val="09114954"/>
    <w:rsid w:val="095A5B83"/>
    <w:rsid w:val="096466E3"/>
    <w:rsid w:val="0968304D"/>
    <w:rsid w:val="09AF3D17"/>
    <w:rsid w:val="09CD6896"/>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60C95"/>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B41B94"/>
    <w:rsid w:val="12F7068C"/>
    <w:rsid w:val="14207DC0"/>
    <w:rsid w:val="142F453F"/>
    <w:rsid w:val="14B932DA"/>
    <w:rsid w:val="150A66AF"/>
    <w:rsid w:val="154C1139"/>
    <w:rsid w:val="15851681"/>
    <w:rsid w:val="158C5B77"/>
    <w:rsid w:val="160D1149"/>
    <w:rsid w:val="163563C0"/>
    <w:rsid w:val="164315EF"/>
    <w:rsid w:val="16557DFE"/>
    <w:rsid w:val="167268FB"/>
    <w:rsid w:val="16D50C50"/>
    <w:rsid w:val="16E120E1"/>
    <w:rsid w:val="17385A05"/>
    <w:rsid w:val="173B3901"/>
    <w:rsid w:val="176747F9"/>
    <w:rsid w:val="17954A6E"/>
    <w:rsid w:val="180059E9"/>
    <w:rsid w:val="18093D0F"/>
    <w:rsid w:val="184510FD"/>
    <w:rsid w:val="190648B0"/>
    <w:rsid w:val="19071D6C"/>
    <w:rsid w:val="19D26CD4"/>
    <w:rsid w:val="19E60D19"/>
    <w:rsid w:val="1A3E3450"/>
    <w:rsid w:val="1AD807E5"/>
    <w:rsid w:val="1B39345B"/>
    <w:rsid w:val="1BFB2A1F"/>
    <w:rsid w:val="1C015D4A"/>
    <w:rsid w:val="1C290ED5"/>
    <w:rsid w:val="1C317E4F"/>
    <w:rsid w:val="1C472464"/>
    <w:rsid w:val="1C5A13D9"/>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84071B"/>
    <w:rsid w:val="22D7662C"/>
    <w:rsid w:val="23326B7F"/>
    <w:rsid w:val="2380045B"/>
    <w:rsid w:val="23BC04D2"/>
    <w:rsid w:val="23D17851"/>
    <w:rsid w:val="23EF1892"/>
    <w:rsid w:val="24822779"/>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816FB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1D2717A"/>
    <w:rsid w:val="32601BAD"/>
    <w:rsid w:val="329F6389"/>
    <w:rsid w:val="3389023A"/>
    <w:rsid w:val="33CB74FA"/>
    <w:rsid w:val="343642F2"/>
    <w:rsid w:val="343F3010"/>
    <w:rsid w:val="345D0A00"/>
    <w:rsid w:val="34713BFD"/>
    <w:rsid w:val="34C13589"/>
    <w:rsid w:val="34F432C3"/>
    <w:rsid w:val="353369E3"/>
    <w:rsid w:val="35E00D72"/>
    <w:rsid w:val="3689410E"/>
    <w:rsid w:val="36965B9D"/>
    <w:rsid w:val="36C549FD"/>
    <w:rsid w:val="37A755DD"/>
    <w:rsid w:val="37F94FA0"/>
    <w:rsid w:val="380D3381"/>
    <w:rsid w:val="38115B1F"/>
    <w:rsid w:val="385E3AC3"/>
    <w:rsid w:val="385E4999"/>
    <w:rsid w:val="387D6B9E"/>
    <w:rsid w:val="38B75FF0"/>
    <w:rsid w:val="38D45016"/>
    <w:rsid w:val="38D90432"/>
    <w:rsid w:val="3914510A"/>
    <w:rsid w:val="3926770B"/>
    <w:rsid w:val="398D3668"/>
    <w:rsid w:val="39DA0497"/>
    <w:rsid w:val="3A762B6E"/>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848FB"/>
    <w:rsid w:val="434E6957"/>
    <w:rsid w:val="43B13E0D"/>
    <w:rsid w:val="43BA0E31"/>
    <w:rsid w:val="43C15147"/>
    <w:rsid w:val="43E14DD2"/>
    <w:rsid w:val="43EA3E48"/>
    <w:rsid w:val="43F800E9"/>
    <w:rsid w:val="44302BDF"/>
    <w:rsid w:val="443A7E4B"/>
    <w:rsid w:val="452F5B3A"/>
    <w:rsid w:val="454E7FD2"/>
    <w:rsid w:val="4592486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E479D2"/>
    <w:rsid w:val="4A0A26D2"/>
    <w:rsid w:val="4A2019A5"/>
    <w:rsid w:val="4A241A0B"/>
    <w:rsid w:val="4A7B2875"/>
    <w:rsid w:val="4A934476"/>
    <w:rsid w:val="4AAA220A"/>
    <w:rsid w:val="4AE12E67"/>
    <w:rsid w:val="4B4C0111"/>
    <w:rsid w:val="4B501C9D"/>
    <w:rsid w:val="4B8553A9"/>
    <w:rsid w:val="4BDB3730"/>
    <w:rsid w:val="4C200F7A"/>
    <w:rsid w:val="4CEE3180"/>
    <w:rsid w:val="4D0F4AF6"/>
    <w:rsid w:val="4DF94F37"/>
    <w:rsid w:val="4E0A1DD5"/>
    <w:rsid w:val="4E3160E5"/>
    <w:rsid w:val="4E4D37AF"/>
    <w:rsid w:val="4E8C6496"/>
    <w:rsid w:val="4EA01857"/>
    <w:rsid w:val="4EFB6DE2"/>
    <w:rsid w:val="4EFD18DE"/>
    <w:rsid w:val="4F144236"/>
    <w:rsid w:val="4F663C87"/>
    <w:rsid w:val="4F7E29A8"/>
    <w:rsid w:val="4F9E1FFC"/>
    <w:rsid w:val="50447CC2"/>
    <w:rsid w:val="50874A7C"/>
    <w:rsid w:val="50895EE7"/>
    <w:rsid w:val="50921B9D"/>
    <w:rsid w:val="50A75389"/>
    <w:rsid w:val="50D16158"/>
    <w:rsid w:val="50DB5F45"/>
    <w:rsid w:val="51025EB1"/>
    <w:rsid w:val="51141503"/>
    <w:rsid w:val="518D0ED5"/>
    <w:rsid w:val="525C687F"/>
    <w:rsid w:val="52F647F7"/>
    <w:rsid w:val="52F92565"/>
    <w:rsid w:val="53D03877"/>
    <w:rsid w:val="542F73CA"/>
    <w:rsid w:val="5430786D"/>
    <w:rsid w:val="547527B9"/>
    <w:rsid w:val="54C811C0"/>
    <w:rsid w:val="556A442D"/>
    <w:rsid w:val="557864E7"/>
    <w:rsid w:val="55DA564E"/>
    <w:rsid w:val="5604127D"/>
    <w:rsid w:val="56166703"/>
    <w:rsid w:val="56510474"/>
    <w:rsid w:val="56861525"/>
    <w:rsid w:val="56A93273"/>
    <w:rsid w:val="56BD550C"/>
    <w:rsid w:val="56CB4DB9"/>
    <w:rsid w:val="56E07045"/>
    <w:rsid w:val="56FF28AF"/>
    <w:rsid w:val="57540E7D"/>
    <w:rsid w:val="57672F12"/>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386973"/>
    <w:rsid w:val="5BD456CE"/>
    <w:rsid w:val="5C0D1F49"/>
    <w:rsid w:val="5C49141E"/>
    <w:rsid w:val="5CBB0CE2"/>
    <w:rsid w:val="5CC17177"/>
    <w:rsid w:val="5CF306BC"/>
    <w:rsid w:val="5D3F3D64"/>
    <w:rsid w:val="5D833043"/>
    <w:rsid w:val="5DB2603E"/>
    <w:rsid w:val="5DD92690"/>
    <w:rsid w:val="5DDB1CFD"/>
    <w:rsid w:val="5E7E6D93"/>
    <w:rsid w:val="5ED44800"/>
    <w:rsid w:val="5EFE646A"/>
    <w:rsid w:val="5F350BDE"/>
    <w:rsid w:val="5F61632C"/>
    <w:rsid w:val="5FA17648"/>
    <w:rsid w:val="5FE705CB"/>
    <w:rsid w:val="60345CB2"/>
    <w:rsid w:val="603D5080"/>
    <w:rsid w:val="60D0261B"/>
    <w:rsid w:val="611F2AAF"/>
    <w:rsid w:val="618E3791"/>
    <w:rsid w:val="61947DCA"/>
    <w:rsid w:val="61A46A97"/>
    <w:rsid w:val="61D1382F"/>
    <w:rsid w:val="61F114A2"/>
    <w:rsid w:val="62512BB4"/>
    <w:rsid w:val="625D7D1A"/>
    <w:rsid w:val="62DD7D21"/>
    <w:rsid w:val="634353D3"/>
    <w:rsid w:val="6371124E"/>
    <w:rsid w:val="637D586B"/>
    <w:rsid w:val="63A5560B"/>
    <w:rsid w:val="63E9091F"/>
    <w:rsid w:val="64322AF9"/>
    <w:rsid w:val="64390DD2"/>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732727"/>
    <w:rsid w:val="67C304AB"/>
    <w:rsid w:val="683F0658"/>
    <w:rsid w:val="689C6793"/>
    <w:rsid w:val="68DB0208"/>
    <w:rsid w:val="68FB170C"/>
    <w:rsid w:val="691B3D98"/>
    <w:rsid w:val="693748F0"/>
    <w:rsid w:val="69846A0E"/>
    <w:rsid w:val="69AD798C"/>
    <w:rsid w:val="69D005C0"/>
    <w:rsid w:val="69D80B96"/>
    <w:rsid w:val="6B587F9A"/>
    <w:rsid w:val="6B68175F"/>
    <w:rsid w:val="6BFD799F"/>
    <w:rsid w:val="6C4A2E5A"/>
    <w:rsid w:val="6C8138D0"/>
    <w:rsid w:val="6CEF0725"/>
    <w:rsid w:val="6D4B2604"/>
    <w:rsid w:val="6D8030E4"/>
    <w:rsid w:val="6DE3266B"/>
    <w:rsid w:val="6E0E35C4"/>
    <w:rsid w:val="6E0F7A08"/>
    <w:rsid w:val="6E3947F5"/>
    <w:rsid w:val="6E8545CA"/>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82BD0"/>
    <w:rsid w:val="727B234E"/>
    <w:rsid w:val="72D068C7"/>
    <w:rsid w:val="72E42ED8"/>
    <w:rsid w:val="73505E3C"/>
    <w:rsid w:val="735F4CB9"/>
    <w:rsid w:val="73674C62"/>
    <w:rsid w:val="73845865"/>
    <w:rsid w:val="738D08FE"/>
    <w:rsid w:val="739B6D9E"/>
    <w:rsid w:val="739D0F87"/>
    <w:rsid w:val="73BC1D76"/>
    <w:rsid w:val="73EB187F"/>
    <w:rsid w:val="73FB6630"/>
    <w:rsid w:val="748D790E"/>
    <w:rsid w:val="749820CC"/>
    <w:rsid w:val="74CE04EC"/>
    <w:rsid w:val="74E76DCD"/>
    <w:rsid w:val="751D7C0A"/>
    <w:rsid w:val="75722D56"/>
    <w:rsid w:val="75DB5477"/>
    <w:rsid w:val="75FC6AC3"/>
    <w:rsid w:val="7616619B"/>
    <w:rsid w:val="76344A15"/>
    <w:rsid w:val="76660D7C"/>
    <w:rsid w:val="766C5968"/>
    <w:rsid w:val="76843A70"/>
    <w:rsid w:val="76BE0C8F"/>
    <w:rsid w:val="76CD53B2"/>
    <w:rsid w:val="770719AC"/>
    <w:rsid w:val="77307A87"/>
    <w:rsid w:val="776526CC"/>
    <w:rsid w:val="77A262E1"/>
    <w:rsid w:val="77B13C33"/>
    <w:rsid w:val="77ED6F44"/>
    <w:rsid w:val="77F45548"/>
    <w:rsid w:val="78035A8D"/>
    <w:rsid w:val="784E7CA6"/>
    <w:rsid w:val="78574801"/>
    <w:rsid w:val="7873527F"/>
    <w:rsid w:val="790A6425"/>
    <w:rsid w:val="790E2D96"/>
    <w:rsid w:val="791B54B2"/>
    <w:rsid w:val="795A0A34"/>
    <w:rsid w:val="796B6433"/>
    <w:rsid w:val="797339C3"/>
    <w:rsid w:val="79D57D57"/>
    <w:rsid w:val="79F00650"/>
    <w:rsid w:val="7A6242BF"/>
    <w:rsid w:val="7A794513"/>
    <w:rsid w:val="7AE952D2"/>
    <w:rsid w:val="7C976D69"/>
    <w:rsid w:val="7CD752DA"/>
    <w:rsid w:val="7CDE40AB"/>
    <w:rsid w:val="7CF057E2"/>
    <w:rsid w:val="7D1548B5"/>
    <w:rsid w:val="7DF84014"/>
    <w:rsid w:val="7DFF3DA4"/>
    <w:rsid w:val="7E207949"/>
    <w:rsid w:val="7E5C0A47"/>
    <w:rsid w:val="7E670C75"/>
    <w:rsid w:val="7EE24272"/>
    <w:rsid w:val="7EEA6053"/>
    <w:rsid w:val="7F487C04"/>
    <w:rsid w:val="7F713F9C"/>
    <w:rsid w:val="7F83264F"/>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pPr>
      <w:spacing w:after="160" w:line="278" w:lineRule="auto"/>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1093</Words>
  <Characters>6233</Characters>
  <Lines>51</Lines>
  <Paragraphs>14</Paragraphs>
  <TotalTime>8</TotalTime>
  <ScaleCrop>false</ScaleCrop>
  <LinksUpToDate>false</LinksUpToDate>
  <CharactersWithSpaces>7312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2025-04-07T08:13:50Z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63DEDC41ACA84113B8C0823F52DE9001_13</vt:lpwstr>
  </property>
</Properties>
</file>