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ascii="黑体" w:hAnsi="黑体" w:eastAsia="黑体"/>
          <w:color w:val="auto"/>
          <w:sz w:val="32"/>
          <w:szCs w:val="32"/>
          <w:highlight w:val="none"/>
        </w:rPr>
      </w:pPr>
    </w:p>
    <w:p>
      <w:pPr>
        <w:keepNext w:val="0"/>
        <w:keepLines w:val="0"/>
        <w:pageBreakBefore w:val="0"/>
        <w:widowControl w:val="0"/>
        <w:kinsoku/>
        <w:wordWrap/>
        <w:overflowPunct/>
        <w:topLinePunct w:val="0"/>
        <w:bidi w:val="0"/>
        <w:adjustRightInd/>
        <w:snapToGrid/>
        <w:spacing w:line="240" w:lineRule="auto"/>
        <w:ind w:firstLine="880" w:firstLineChars="200"/>
        <w:jc w:val="both"/>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ind w:firstLine="880" w:firstLineChars="200"/>
        <w:jc w:val="both"/>
        <w:textAlignment w:val="auto"/>
        <w:rPr>
          <w:rFonts w:hint="eastAsia" w:ascii="方正小标宋_GBK" w:hAnsi="宋体" w:eastAsia="方正小标宋_GBK"/>
          <w:color w:val="auto"/>
          <w:sz w:val="44"/>
          <w:szCs w:val="44"/>
          <w:highlight w:val="none"/>
          <w:lang w:val="en-US" w:eastAsia="zh-CN"/>
        </w:rPr>
      </w:pPr>
    </w:p>
    <w:p>
      <w:pPr>
        <w:keepNext w:val="0"/>
        <w:keepLines w:val="0"/>
        <w:pageBreakBefore w:val="0"/>
        <w:widowControl w:val="0"/>
        <w:kinsoku/>
        <w:wordWrap/>
        <w:overflowPunct/>
        <w:topLinePunct w:val="0"/>
        <w:bidi w:val="0"/>
        <w:adjustRightInd/>
        <w:snapToGrid/>
        <w:spacing w:line="240" w:lineRule="auto"/>
        <w:ind w:firstLine="880" w:firstLineChars="200"/>
        <w:jc w:val="both"/>
        <w:textAlignment w:val="auto"/>
        <w:rPr>
          <w:rFonts w:hint="eastAsia" w:ascii="方正小标宋_GBK" w:hAnsi="宋体" w:eastAsia="方正小标宋_GBK"/>
          <w:color w:val="auto"/>
          <w:sz w:val="44"/>
          <w:szCs w:val="44"/>
          <w:highlight w:val="none"/>
          <w:lang w:val="en-US" w:eastAsia="zh-CN"/>
        </w:rPr>
      </w:pPr>
    </w:p>
    <w:p>
      <w:pPr>
        <w:keepNext w:val="0"/>
        <w:keepLines w:val="0"/>
        <w:pageBreakBefore w:val="0"/>
        <w:widowControl w:val="0"/>
        <w:kinsoku/>
        <w:wordWrap/>
        <w:overflowPunct/>
        <w:topLinePunct w:val="0"/>
        <w:bidi w:val="0"/>
        <w:adjustRightInd/>
        <w:snapToGrid/>
        <w:spacing w:line="240" w:lineRule="auto"/>
        <w:ind w:firstLine="880" w:firstLineChars="200"/>
        <w:jc w:val="center"/>
        <w:textAlignment w:val="auto"/>
        <w:rPr>
          <w:rFonts w:hint="eastAsia" w:ascii="方正小标宋_GBK" w:hAnsi="宋体" w:eastAsia="方正小标宋_GBK" w:cs="Times New Roman"/>
          <w:sz w:val="44"/>
          <w:szCs w:val="44"/>
          <w:highlight w:val="none"/>
        </w:rPr>
      </w:pPr>
      <w:r>
        <w:rPr>
          <w:rFonts w:hint="eastAsia" w:ascii="方正小标宋_GBK" w:hAnsi="宋体" w:eastAsia="方正小标宋_GBK" w:cs="Times New Roman"/>
          <w:sz w:val="44"/>
          <w:szCs w:val="44"/>
          <w:highlight w:val="none"/>
          <w:lang w:val="en-US" w:eastAsia="zh-CN"/>
        </w:rPr>
        <w:t>裕民县司法局</w:t>
      </w:r>
      <w:r>
        <w:rPr>
          <w:rFonts w:hint="eastAsia" w:ascii="方正小标宋_GBK" w:hAnsi="宋体" w:eastAsia="方正小标宋_GBK" w:cs="Times New Roman"/>
          <w:sz w:val="44"/>
          <w:szCs w:val="44"/>
          <w:highlight w:val="none"/>
          <w:lang w:eastAsia="zh-CN"/>
        </w:rPr>
        <w:t xml:space="preserve"> 2023年度</w:t>
      </w:r>
      <w:r>
        <w:rPr>
          <w:rFonts w:hint="eastAsia" w:ascii="方正小标宋_GBK" w:hAnsi="宋体" w:eastAsia="方正小标宋_GBK" w:cs="Times New Roman"/>
          <w:sz w:val="44"/>
          <w:szCs w:val="44"/>
          <w:highlight w:val="none"/>
        </w:rPr>
        <w:t>部门决算</w:t>
      </w:r>
    </w:p>
    <w:p>
      <w:pPr>
        <w:keepNext w:val="0"/>
        <w:keepLines w:val="0"/>
        <w:pageBreakBefore w:val="0"/>
        <w:widowControl w:val="0"/>
        <w:kinsoku/>
        <w:wordWrap/>
        <w:overflowPunct/>
        <w:topLinePunct w:val="0"/>
        <w:bidi w:val="0"/>
        <w:adjustRightInd/>
        <w:snapToGrid/>
        <w:spacing w:line="240" w:lineRule="auto"/>
        <w:ind w:firstLine="880" w:firstLineChars="200"/>
        <w:jc w:val="center"/>
        <w:textAlignment w:val="auto"/>
        <w:rPr>
          <w:rFonts w:hint="eastAsia" w:ascii="方正小标宋_GBK" w:hAnsi="宋体" w:eastAsia="方正小标宋_GBK" w:cs="Times New Roman"/>
          <w:sz w:val="44"/>
          <w:szCs w:val="44"/>
          <w:highlight w:val="none"/>
        </w:rPr>
      </w:pPr>
      <w:r>
        <w:rPr>
          <w:rFonts w:hint="eastAsia" w:ascii="方正小标宋_GBK" w:hAnsi="宋体" w:eastAsia="方正小标宋_GBK" w:cs="Times New Roman"/>
          <w:sz w:val="44"/>
          <w:szCs w:val="44"/>
          <w:highlight w:val="none"/>
        </w:rPr>
        <w:t>公开说明</w:t>
      </w:r>
    </w:p>
    <w:p>
      <w:pPr>
        <w:keepNext w:val="0"/>
        <w:keepLines w:val="0"/>
        <w:pageBreakBefore w:val="0"/>
        <w:kinsoku/>
        <w:wordWrap/>
        <w:overflowPunct/>
        <w:topLinePunct w:val="0"/>
        <w:bidi w:val="0"/>
        <w:adjustRightInd/>
        <w:snapToGrid/>
        <w:spacing w:line="240" w:lineRule="auto"/>
        <w:ind w:firstLine="880" w:firstLineChars="200"/>
        <w:jc w:val="both"/>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firstLine="723" w:firstLineChars="200"/>
        <w:jc w:val="both"/>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3" w:firstLineChars="200"/>
        <w:jc w:val="both"/>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pPr>
        <w:keepNext w:val="0"/>
        <w:keepLines w:val="0"/>
        <w:pageBreakBefore w:val="0"/>
        <w:kinsoku/>
        <w:wordWrap/>
        <w:overflowPunct/>
        <w:topLinePunct w:val="0"/>
        <w:bidi w:val="0"/>
        <w:adjustRightInd/>
        <w:snapToGrid/>
        <w:spacing w:line="240" w:lineRule="auto"/>
        <w:ind w:firstLine="640" w:firstLineChars="200"/>
        <w:jc w:val="both"/>
        <w:textAlignment w:val="auto"/>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pPr>
        <w:pStyle w:val="6"/>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3" w:firstLineChars="200"/>
        <w:jc w:val="both"/>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3" w:firstLineChars="200"/>
        <w:jc w:val="both"/>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pPr>
        <w:keepNext w:val="0"/>
        <w:keepLines w:val="0"/>
        <w:pageBreakBefore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bookmarkStart w:id="0" w:name="_Toc32314"/>
      <w:bookmarkStart w:id="1" w:name="_Toc24028"/>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司法局贯彻落实党中央关于司法行政工作的方针政策和决策部署，在履行职责过程中坚持和加强党对司法行政工作的集中统一领导。主要职责包括：</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（一）贯彻执行中央、自治区、地区有关司法行政工作的方针、政策、法律、法规和规章，制定全县司法行政工作的规范性文件，拟定全县司法行政工作的中长期发展规划、年度工作计划并组织实施。</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（二）监督、指导和管理律师、公证和基层法律服务等法律服务工作。指导、监督法律服务行业的社会团体开展工作。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（三）整合法律援助、公证等法律服务资源，完善人民陪审员选任和人民监督员选任管理工作，为群众提供公共法律服务。</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（四）指导和管理全县基层司法所建设和人民调解工作，推动人民群众参与、促进、监督法治建设。</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（五）拟订全县法治宣传教育规划并组织实施，指导各乡镇和各行业法治宣传、依法治理工作。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（六）指导和管理全县社区矫正工作。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（七）监督、指导和管理全县刑释解教人员安置帮教工作。负责全县“危安类”服刑人员刑满释放时的衔接、押解工作。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（八）监督、指导和管理全县司法行政系统的计划财务及服装和车辆等警用物资装备。</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（九）负责全县司法行政队伍建设和思想作风、工作作风建设，负责全县司法行政干警培训、警务管理和警务督察工作。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（十）承办县委、县人民政府及上级主管部门交办的其他事项。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b/>
          <w:color w:val="auto"/>
          <w:sz w:val="32"/>
          <w:szCs w:val="32"/>
          <w:highlight w:val="none"/>
        </w:rPr>
      </w:pPr>
      <w:r>
        <w:rPr>
          <w:rFonts w:hint="eastAsia" w:ascii="仿宋_GB2312" w:eastAsia="仿宋_GB2312"/>
          <w:color w:val="auto"/>
          <w:sz w:val="32"/>
          <w:szCs w:val="32"/>
          <w:highlight w:val="none"/>
          <w:lang w:val="en-US" w:eastAsia="zh-CN"/>
        </w:rPr>
        <w:t>裕民县司法局</w:t>
      </w:r>
      <w:r>
        <w:rPr>
          <w:rFonts w:hint="eastAsia" w:ascii="仿宋_GB2312" w:eastAsia="仿宋_GB2312"/>
          <w:color w:val="auto"/>
          <w:sz w:val="32"/>
          <w:szCs w:val="32"/>
          <w:highlight w:val="none"/>
          <w:lang w:eastAsia="zh-CN"/>
        </w:rPr>
        <w:t>2023年度，</w:t>
      </w:r>
      <w:r>
        <w:rPr>
          <w:rFonts w:hint="eastAsia" w:ascii="仿宋_GB2312" w:eastAsia="仿宋_GB2312"/>
          <w:color w:val="auto"/>
          <w:sz w:val="32"/>
          <w:szCs w:val="32"/>
          <w:highlight w:val="none"/>
        </w:rPr>
        <w:t>实有人数</w:t>
      </w:r>
      <w:r>
        <w:rPr>
          <w:rFonts w:hint="eastAsia" w:ascii="仿宋_GB2312" w:eastAsia="仿宋_GB2312"/>
          <w:color w:val="auto"/>
          <w:sz w:val="32"/>
          <w:szCs w:val="32"/>
          <w:highlight w:val="none"/>
          <w:lang w:val="zh-CN" w:eastAsia="zh-CN"/>
        </w:rPr>
        <w:t>44</w:t>
      </w:r>
      <w:r>
        <w:rPr>
          <w:rFonts w:hint="eastAsia" w:ascii="仿宋_GB2312" w:eastAsia="仿宋_GB2312"/>
          <w:color w:val="auto"/>
          <w:sz w:val="32"/>
          <w:szCs w:val="32"/>
          <w:highlight w:val="none"/>
        </w:rPr>
        <w:t>人，其中：在职人员</w:t>
      </w:r>
      <w:r>
        <w:rPr>
          <w:rFonts w:hint="eastAsia" w:ascii="仿宋_GB2312" w:eastAsia="仿宋_GB2312"/>
          <w:color w:val="auto"/>
          <w:sz w:val="32"/>
          <w:szCs w:val="32"/>
          <w:highlight w:val="none"/>
          <w:lang w:val="zh-CN" w:eastAsia="zh-CN"/>
        </w:rPr>
        <w:t>24</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eastAsia" w:ascii="仿宋_GB2312" w:eastAsia="仿宋_GB2312"/>
          <w:color w:val="auto"/>
          <w:sz w:val="32"/>
          <w:szCs w:val="32"/>
          <w:highlight w:val="none"/>
          <w:lang w:val="zh-CN" w:eastAsia="zh-CN"/>
        </w:rPr>
        <w:t>0</w:t>
      </w:r>
      <w:r>
        <w:rPr>
          <w:rFonts w:hint="eastAsia" w:ascii="仿宋_GB2312" w:eastAsia="仿宋_GB2312"/>
          <w:color w:val="auto"/>
          <w:sz w:val="32"/>
          <w:szCs w:val="32"/>
          <w:highlight w:val="none"/>
        </w:rPr>
        <w:t>人，退休人员</w:t>
      </w:r>
      <w:r>
        <w:rPr>
          <w:rFonts w:hint="eastAsia" w:ascii="仿宋_GB2312" w:eastAsia="仿宋_GB2312"/>
          <w:color w:val="auto"/>
          <w:sz w:val="32"/>
          <w:szCs w:val="32"/>
          <w:highlight w:val="none"/>
          <w:lang w:val="zh-CN" w:eastAsia="zh-CN"/>
        </w:rPr>
        <w:t>20</w:t>
      </w:r>
      <w:r>
        <w:rPr>
          <w:rFonts w:hint="eastAsia" w:ascii="仿宋_GB2312" w:eastAsia="仿宋_GB2312"/>
          <w:color w:val="auto"/>
          <w:sz w:val="32"/>
          <w:szCs w:val="32"/>
          <w:highlight w:val="none"/>
        </w:rPr>
        <w:t>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单位无下属预算单位，下设7个处室，分别是：办公室、财务室、法治办、普法办、社区矫正室、公证处、法律援助中心。</w:t>
      </w:r>
      <w:bookmarkStart w:id="6" w:name="_Toc29374"/>
      <w:bookmarkStart w:id="7" w:name="_Toc3092"/>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25314"/>
      <w:bookmarkStart w:id="9" w:name="_Toc12566"/>
      <w:r>
        <w:rPr>
          <w:rFonts w:hint="eastAsia" w:ascii="黑体" w:hAnsi="黑体" w:eastAsia="黑体" w:cs="宋体"/>
          <w:bCs/>
          <w:color w:val="auto"/>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eastAsia="zh-CN"/>
        </w:rPr>
        <w:t>2023年度</w:t>
      </w:r>
      <w:r>
        <w:rPr>
          <w:rFonts w:hint="eastAsia" w:ascii="仿宋_GB2312" w:eastAsia="仿宋_GB2312"/>
          <w:b/>
          <w:bCs/>
          <w:color w:val="auto"/>
          <w:spacing w:val="0"/>
          <w:sz w:val="32"/>
          <w:szCs w:val="32"/>
          <w:highlight w:val="none"/>
          <w:lang w:val="en-US" w:eastAsia="zh-CN"/>
        </w:rPr>
        <w:t>收入总计</w:t>
      </w:r>
      <w:r>
        <w:rPr>
          <w:rFonts w:hint="eastAsia" w:ascii="仿宋_GB2312" w:eastAsia="仿宋_GB2312"/>
          <w:b/>
          <w:bCs/>
          <w:color w:val="auto"/>
          <w:spacing w:val="0"/>
          <w:sz w:val="32"/>
          <w:szCs w:val="32"/>
          <w:highlight w:val="none"/>
          <w:lang w:eastAsia="zh-CN"/>
        </w:rPr>
        <w:t>583.62万元，</w:t>
      </w:r>
      <w:r>
        <w:rPr>
          <w:rFonts w:hint="eastAsia" w:ascii="仿宋_GB2312" w:eastAsia="仿宋_GB2312"/>
          <w:color w:val="auto"/>
          <w:spacing w:val="0"/>
          <w:sz w:val="32"/>
          <w:szCs w:val="32"/>
          <w:highlight w:val="none"/>
          <w:lang w:val="en-US" w:eastAsia="zh-CN"/>
        </w:rPr>
        <w:t>其中：本年收入合计</w:t>
      </w:r>
      <w:r>
        <w:rPr>
          <w:rFonts w:hint="eastAsia" w:ascii="仿宋_GB2312" w:eastAsia="仿宋_GB2312"/>
          <w:color w:val="auto"/>
          <w:spacing w:val="0"/>
          <w:sz w:val="32"/>
          <w:szCs w:val="32"/>
          <w:highlight w:val="none"/>
          <w:lang w:eastAsia="zh-CN"/>
        </w:rPr>
        <w:t>583.62万元，使用非财政拨款结余0.00万元，年初结转和结余0.00万元。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val="en-US" w:eastAsia="zh-CN"/>
        </w:rPr>
        <w:t>2023</w:t>
      </w:r>
      <w:r>
        <w:rPr>
          <w:rFonts w:hint="eastAsia" w:ascii="仿宋_GB2312" w:eastAsia="仿宋_GB2312"/>
          <w:b/>
          <w:bCs/>
          <w:color w:val="auto"/>
          <w:spacing w:val="0"/>
          <w:sz w:val="32"/>
          <w:szCs w:val="32"/>
          <w:highlight w:val="none"/>
          <w:lang w:eastAsia="zh-CN"/>
        </w:rPr>
        <w:t>年</w:t>
      </w:r>
      <w:r>
        <w:rPr>
          <w:rFonts w:hint="eastAsia" w:ascii="仿宋_GB2312" w:eastAsia="仿宋_GB2312"/>
          <w:b/>
          <w:bCs/>
          <w:color w:val="auto"/>
          <w:spacing w:val="0"/>
          <w:sz w:val="32"/>
          <w:szCs w:val="32"/>
          <w:highlight w:val="none"/>
          <w:lang w:val="en-US" w:eastAsia="zh-CN"/>
        </w:rPr>
        <w:t>度</w:t>
      </w:r>
      <w:r>
        <w:rPr>
          <w:rFonts w:hint="eastAsia" w:ascii="仿宋_GB2312" w:eastAsia="仿宋_GB2312"/>
          <w:b/>
          <w:bCs/>
          <w:color w:val="auto"/>
          <w:spacing w:val="0"/>
          <w:sz w:val="32"/>
          <w:szCs w:val="32"/>
          <w:highlight w:val="none"/>
          <w:lang w:eastAsia="zh-CN"/>
        </w:rPr>
        <w:t>支出</w:t>
      </w:r>
      <w:r>
        <w:rPr>
          <w:rFonts w:hint="eastAsia" w:ascii="仿宋_GB2312" w:eastAsia="仿宋_GB2312"/>
          <w:b/>
          <w:bCs/>
          <w:color w:val="auto"/>
          <w:spacing w:val="0"/>
          <w:sz w:val="32"/>
          <w:szCs w:val="32"/>
          <w:highlight w:val="none"/>
          <w:lang w:val="en-US" w:eastAsia="zh-CN"/>
        </w:rPr>
        <w:t>总计</w:t>
      </w:r>
      <w:r>
        <w:rPr>
          <w:rFonts w:hint="eastAsia" w:ascii="仿宋_GB2312" w:eastAsia="仿宋_GB2312"/>
          <w:b/>
          <w:bCs/>
          <w:color w:val="auto"/>
          <w:spacing w:val="0"/>
          <w:sz w:val="32"/>
          <w:szCs w:val="32"/>
          <w:highlight w:val="none"/>
          <w:lang w:eastAsia="zh-CN"/>
        </w:rPr>
        <w:t>583.62万元，</w:t>
      </w:r>
      <w:r>
        <w:rPr>
          <w:rFonts w:hint="eastAsia" w:ascii="仿宋_GB2312" w:eastAsia="仿宋_GB2312"/>
          <w:color w:val="auto"/>
          <w:spacing w:val="0"/>
          <w:sz w:val="32"/>
          <w:szCs w:val="32"/>
          <w:highlight w:val="none"/>
          <w:lang w:val="en-US" w:eastAsia="zh-CN"/>
        </w:rPr>
        <w:t>其中：本年支出合计</w:t>
      </w:r>
      <w:r>
        <w:rPr>
          <w:rFonts w:hint="eastAsia" w:ascii="仿宋_GB2312" w:eastAsia="仿宋_GB2312"/>
          <w:color w:val="auto"/>
          <w:spacing w:val="0"/>
          <w:sz w:val="32"/>
          <w:szCs w:val="32"/>
          <w:highlight w:val="none"/>
          <w:lang w:eastAsia="zh-CN"/>
        </w:rPr>
        <w:t>583.62万元，</w:t>
      </w:r>
      <w:r>
        <w:rPr>
          <w:rFonts w:hint="eastAsia" w:ascii="仿宋_GB2312" w:eastAsia="仿宋_GB2312"/>
          <w:color w:val="auto"/>
          <w:spacing w:val="0"/>
          <w:sz w:val="32"/>
          <w:szCs w:val="32"/>
          <w:highlight w:val="none"/>
          <w:lang w:val="en-US" w:eastAsia="zh-CN"/>
        </w:rPr>
        <w:t>结余分配</w:t>
      </w:r>
      <w:r>
        <w:rPr>
          <w:rFonts w:hint="eastAsia" w:ascii="仿宋_GB2312" w:eastAsia="仿宋_GB2312"/>
          <w:color w:val="auto"/>
          <w:spacing w:val="0"/>
          <w:sz w:val="32"/>
          <w:szCs w:val="32"/>
          <w:highlight w:val="none"/>
          <w:lang w:eastAsia="zh-CN"/>
        </w:rPr>
        <w:t>0.00万元，年末结转和结余0.00万元。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b/>
          <w:bCs/>
          <w:color w:val="auto"/>
          <w:spacing w:val="0"/>
          <w:sz w:val="32"/>
          <w:szCs w:val="32"/>
          <w:highlight w:val="none"/>
          <w:lang w:val="en-US" w:eastAsia="zh-CN"/>
        </w:rPr>
        <w:t>收入支出总体与上年相比</w:t>
      </w:r>
      <w:r>
        <w:rPr>
          <w:rFonts w:hint="eastAsia" w:ascii="仿宋_GB2312" w:eastAsia="仿宋_GB2312"/>
          <w:b/>
          <w:bCs/>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减少36.22万元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下降5.84%</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pacing w:val="0"/>
          <w:sz w:val="32"/>
          <w:szCs w:val="32"/>
          <w:highlight w:val="none"/>
          <w:lang w:val="en-US" w:eastAsia="zh-CN"/>
        </w:rPr>
        <w:t>一是退休</w:t>
      </w:r>
      <w:r>
        <w:rPr>
          <w:rFonts w:hint="eastAsia" w:ascii="仿宋_GB2312" w:eastAsia="仿宋_GB2312"/>
          <w:b w:val="0"/>
          <w:bCs w:val="0"/>
          <w:color w:val="auto"/>
          <w:sz w:val="32"/>
          <w:szCs w:val="32"/>
          <w:highlight w:val="none"/>
          <w:lang w:val="en-US" w:eastAsia="zh-CN"/>
        </w:rPr>
        <w:t>人员变动职业年金缴费相应减少，</w:t>
      </w:r>
      <w:r>
        <w:rPr>
          <w:rFonts w:hint="eastAsia" w:eastAsia="仿宋_GB2312" w:cs="Times New Roman"/>
          <w:color w:val="auto"/>
          <w:kern w:val="2"/>
          <w:sz w:val="32"/>
          <w:szCs w:val="32"/>
          <w:highlight w:val="none"/>
          <w:lang w:val="en-US" w:eastAsia="zh-CN" w:bidi="ar-SA"/>
        </w:rPr>
        <w:t>本年度退休人员医疗费和公务员医疗按照医保局政策要求进行了退费，上年度在</w:t>
      </w:r>
      <w:r>
        <w:rPr>
          <w:rFonts w:hint="eastAsia" w:ascii="Times New Roman" w:hAnsi="Times New Roman" w:eastAsia="仿宋_GB2312" w:cs="Times New Roman"/>
          <w:color w:val="auto"/>
          <w:kern w:val="2"/>
          <w:sz w:val="32"/>
          <w:szCs w:val="32"/>
          <w:highlight w:val="none"/>
          <w:lang w:val="en-US" w:eastAsia="zh-CN" w:bidi="ar-SA"/>
        </w:rPr>
        <w:t>行政单位离退休（项）</w:t>
      </w:r>
      <w:r>
        <w:rPr>
          <w:rFonts w:hint="eastAsia" w:eastAsia="仿宋_GB2312" w:cs="Times New Roman"/>
          <w:color w:val="auto"/>
          <w:kern w:val="2"/>
          <w:sz w:val="32"/>
          <w:szCs w:val="32"/>
          <w:highlight w:val="none"/>
          <w:lang w:val="en-US" w:eastAsia="zh-CN" w:bidi="ar-SA"/>
        </w:rPr>
        <w:t>正常缴纳</w:t>
      </w:r>
      <w:r>
        <w:rPr>
          <w:rFonts w:hint="eastAsia" w:eastAsia="仿宋_GB2312" w:cs="Times New Roman"/>
          <w:color w:val="auto"/>
          <w:kern w:val="2"/>
          <w:sz w:val="32"/>
          <w:szCs w:val="32"/>
          <w:highlight w:val="none"/>
          <w:lang w:val="zh-CN" w:eastAsia="zh-CN" w:bidi="ar-SA"/>
        </w:rPr>
        <w:t>。</w:t>
      </w:r>
      <w:r>
        <w:rPr>
          <w:rFonts w:hint="eastAsia" w:ascii="仿宋_GB2312" w:eastAsia="仿宋_GB2312"/>
          <w:b w:val="0"/>
          <w:bCs w:val="0"/>
          <w:color w:val="auto"/>
          <w:sz w:val="32"/>
          <w:szCs w:val="32"/>
          <w:highlight w:val="none"/>
          <w:lang w:val="en-US" w:eastAsia="zh-CN"/>
        </w:rPr>
        <w:t>二是上级拨付专项资金减少。</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10" w:name="_Toc1979"/>
      <w:bookmarkStart w:id="11"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rPr>
        <w:t>本年收入</w:t>
      </w:r>
      <w:r>
        <w:rPr>
          <w:rFonts w:hint="eastAsia" w:ascii="仿宋_GB2312" w:eastAsia="仿宋_GB2312"/>
          <w:b/>
          <w:bCs/>
          <w:color w:val="auto"/>
          <w:sz w:val="32"/>
          <w:szCs w:val="32"/>
          <w:highlight w:val="none"/>
          <w:lang w:eastAsia="zh-CN"/>
        </w:rPr>
        <w:t>583.62</w:t>
      </w:r>
      <w:r>
        <w:rPr>
          <w:rFonts w:hint="eastAsia" w:ascii="仿宋_GB2312" w:eastAsia="仿宋_GB2312"/>
          <w:b/>
          <w:bCs/>
          <w:color w:val="auto"/>
          <w:sz w:val="32"/>
          <w:szCs w:val="32"/>
          <w:highlight w:val="none"/>
        </w:rPr>
        <w:t>万元，</w:t>
      </w:r>
      <w:r>
        <w:rPr>
          <w:rFonts w:hint="eastAsia" w:ascii="仿宋_GB2312" w:eastAsia="仿宋_GB2312"/>
          <w:color w:val="auto"/>
          <w:sz w:val="32"/>
          <w:szCs w:val="32"/>
          <w:highlight w:val="none"/>
        </w:rPr>
        <w:t>其中：财政拨款收入</w:t>
      </w:r>
      <w:r>
        <w:rPr>
          <w:rFonts w:hint="eastAsia" w:ascii="仿宋_GB2312" w:eastAsia="仿宋_GB2312"/>
          <w:color w:val="auto"/>
          <w:sz w:val="32"/>
          <w:szCs w:val="32"/>
          <w:highlight w:val="none"/>
          <w:lang w:val="zh-CN"/>
        </w:rPr>
        <w:t>583.62</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100.00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；上级补助收入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；事业收入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；经营收入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；其他收入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13201"/>
      <w:bookmarkStart w:id="13" w:name="_Toc27961"/>
      <w:r>
        <w:rPr>
          <w:rFonts w:hint="eastAsia" w:ascii="黑体" w:hAnsi="黑体" w:eastAsia="黑体" w:cs="宋体"/>
          <w:bCs/>
          <w:color w:val="auto"/>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val="zh-CN" w:eastAsia="zh-CN"/>
        </w:rPr>
      </w:pPr>
      <w:r>
        <w:rPr>
          <w:rFonts w:hint="eastAsia" w:ascii="仿宋_GB2312" w:eastAsia="仿宋_GB2312"/>
          <w:b/>
          <w:bCs/>
          <w:color w:val="auto"/>
          <w:spacing w:val="0"/>
          <w:sz w:val="32"/>
          <w:szCs w:val="32"/>
          <w:highlight w:val="none"/>
          <w:lang w:val="zh-CN" w:eastAsia="zh-CN"/>
        </w:rPr>
        <w:t>本年支出583.62万元，</w:t>
      </w:r>
      <w:r>
        <w:rPr>
          <w:rFonts w:hint="eastAsia" w:ascii="仿宋_GB2312" w:eastAsia="仿宋_GB2312"/>
          <w:color w:val="auto"/>
          <w:spacing w:val="0"/>
          <w:sz w:val="32"/>
          <w:szCs w:val="32"/>
          <w:highlight w:val="none"/>
          <w:lang w:val="zh-CN" w:eastAsia="zh-CN"/>
        </w:rPr>
        <w:t>其中：基本支出480.32万元，占82.30%；项目支出103.30万元，占17.70%；上缴上级支出0.00万元，占0.00%；经营支出0.00万元，占0.00%；对附属单位补助支出0.00万元，占0.00%。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4393"/>
      <w:bookmarkStart w:id="15" w:name="_Toc26564"/>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eastAsia="zh-CN"/>
        </w:rPr>
        <w:t>2023年度财政拨款收入</w:t>
      </w:r>
      <w:r>
        <w:rPr>
          <w:rFonts w:hint="eastAsia" w:ascii="仿宋_GB2312" w:eastAsia="仿宋_GB2312"/>
          <w:b/>
          <w:bCs/>
          <w:color w:val="auto"/>
          <w:spacing w:val="0"/>
          <w:sz w:val="32"/>
          <w:szCs w:val="32"/>
          <w:highlight w:val="none"/>
          <w:lang w:val="en-US" w:eastAsia="zh-CN"/>
        </w:rPr>
        <w:t>总计</w:t>
      </w:r>
      <w:r>
        <w:rPr>
          <w:rFonts w:hint="eastAsia" w:ascii="仿宋_GB2312" w:eastAsia="仿宋_GB2312"/>
          <w:b/>
          <w:bCs/>
          <w:color w:val="auto"/>
          <w:spacing w:val="0"/>
          <w:sz w:val="32"/>
          <w:szCs w:val="32"/>
          <w:highlight w:val="none"/>
          <w:lang w:val="zh-CN" w:eastAsia="zh-CN"/>
        </w:rPr>
        <w:t>583.62</w:t>
      </w:r>
      <w:r>
        <w:rPr>
          <w:rFonts w:hint="eastAsia" w:ascii="仿宋_GB2312" w:eastAsia="仿宋_GB2312"/>
          <w:b/>
          <w:bCs/>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eastAsia" w:ascii="仿宋_GB2312" w:eastAsia="仿宋_GB2312"/>
          <w:color w:val="auto"/>
          <w:spacing w:val="0"/>
          <w:sz w:val="32"/>
          <w:szCs w:val="32"/>
          <w:highlight w:val="none"/>
          <w:lang w:val="zh-CN" w:eastAsia="zh-CN"/>
        </w:rPr>
        <w:t>583.62</w:t>
      </w:r>
      <w:r>
        <w:rPr>
          <w:rFonts w:hint="eastAsia" w:ascii="仿宋_GB2312" w:eastAsia="仿宋_GB2312"/>
          <w:color w:val="auto"/>
          <w:spacing w:val="0"/>
          <w:sz w:val="32"/>
          <w:szCs w:val="32"/>
          <w:highlight w:val="none"/>
          <w:lang w:eastAsia="zh-CN"/>
        </w:rPr>
        <w:t>万元。</w:t>
      </w:r>
      <w:r>
        <w:rPr>
          <w:rFonts w:hint="eastAsia" w:ascii="仿宋_GB2312" w:eastAsia="仿宋_GB2312"/>
          <w:b/>
          <w:bCs/>
          <w:color w:val="auto"/>
          <w:spacing w:val="0"/>
          <w:sz w:val="32"/>
          <w:szCs w:val="32"/>
          <w:highlight w:val="none"/>
          <w:lang w:eastAsia="zh-CN"/>
        </w:rPr>
        <w:t>财政拨款支出</w:t>
      </w:r>
      <w:r>
        <w:rPr>
          <w:rFonts w:hint="eastAsia" w:ascii="仿宋_GB2312" w:eastAsia="仿宋_GB2312"/>
          <w:b/>
          <w:bCs/>
          <w:color w:val="auto"/>
          <w:spacing w:val="0"/>
          <w:sz w:val="32"/>
          <w:szCs w:val="32"/>
          <w:highlight w:val="none"/>
          <w:lang w:val="en-US" w:eastAsia="zh-CN"/>
        </w:rPr>
        <w:t>总计</w:t>
      </w:r>
      <w:r>
        <w:rPr>
          <w:rFonts w:hint="eastAsia" w:ascii="仿宋_GB2312" w:eastAsia="仿宋_GB2312"/>
          <w:b/>
          <w:bCs/>
          <w:color w:val="auto"/>
          <w:spacing w:val="0"/>
          <w:sz w:val="32"/>
          <w:szCs w:val="32"/>
          <w:highlight w:val="none"/>
          <w:lang w:val="zh-CN" w:eastAsia="zh-CN"/>
        </w:rPr>
        <w:t>583.62</w:t>
      </w:r>
      <w:r>
        <w:rPr>
          <w:rFonts w:hint="eastAsia" w:ascii="仿宋_GB2312" w:eastAsia="仿宋_GB2312"/>
          <w:b/>
          <w:bCs/>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eastAsia" w:ascii="仿宋_GB2312" w:eastAsia="仿宋_GB2312"/>
          <w:color w:val="auto"/>
          <w:spacing w:val="0"/>
          <w:sz w:val="32"/>
          <w:szCs w:val="32"/>
          <w:highlight w:val="none"/>
          <w:lang w:val="zh-CN" w:eastAsia="zh-CN"/>
        </w:rPr>
        <w:t>583.62</w:t>
      </w:r>
      <w:r>
        <w:rPr>
          <w:rFonts w:hint="eastAsia" w:ascii="仿宋_GB2312" w:eastAsia="仿宋_GB2312"/>
          <w:color w:val="auto"/>
          <w:spacing w:val="0"/>
          <w:sz w:val="32"/>
          <w:szCs w:val="32"/>
          <w:highlight w:val="none"/>
          <w:lang w:eastAsia="zh-CN"/>
        </w:rPr>
        <w:t>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default" w:ascii="仿宋_GB2312" w:eastAsia="仿宋_GB2312"/>
          <w:b w:val="0"/>
          <w:bCs w:val="0"/>
          <w:color w:val="auto"/>
          <w:spacing w:val="0"/>
          <w:sz w:val="32"/>
          <w:szCs w:val="32"/>
          <w:highlight w:val="none"/>
          <w:lang w:val="en-US" w:eastAsia="zh-CN"/>
        </w:rPr>
      </w:pPr>
      <w:r>
        <w:rPr>
          <w:rFonts w:hint="eastAsia" w:ascii="仿宋_GB2312" w:eastAsia="仿宋_GB2312"/>
          <w:b/>
          <w:bCs/>
          <w:color w:val="auto"/>
          <w:spacing w:val="0"/>
          <w:sz w:val="32"/>
          <w:szCs w:val="32"/>
          <w:highlight w:val="none"/>
          <w:lang w:eastAsia="zh-CN"/>
        </w:rPr>
        <w:t>财政拨款收入支出总体与上年相比</w:t>
      </w:r>
      <w:r>
        <w:rPr>
          <w:rFonts w:hint="eastAsia" w:ascii="仿宋_GB2312" w:eastAsia="仿宋_GB2312"/>
          <w:b/>
          <w:bCs/>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减少36.22万元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下降5.84%，</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pacing w:val="0"/>
          <w:sz w:val="32"/>
          <w:szCs w:val="32"/>
          <w:highlight w:val="none"/>
          <w:lang w:val="en-US" w:eastAsia="zh-CN"/>
        </w:rPr>
        <w:t>一是退休人员变动职业年金缴费相应减少，本年度退休人员医疗费和公务员医疗按照医保局政策要求进行了退费，上年度在行政单位离退休（项）正常缴纳</w:t>
      </w:r>
      <w:r>
        <w:rPr>
          <w:rFonts w:hint="eastAsia" w:ascii="仿宋_GB2312" w:eastAsia="仿宋_GB2312"/>
          <w:color w:val="auto"/>
          <w:spacing w:val="0"/>
          <w:sz w:val="32"/>
          <w:szCs w:val="32"/>
          <w:highlight w:val="none"/>
          <w:lang w:val="zh-CN" w:eastAsia="zh-CN"/>
        </w:rPr>
        <w:t>。</w:t>
      </w:r>
      <w:r>
        <w:rPr>
          <w:rFonts w:hint="eastAsia" w:ascii="仿宋_GB2312" w:eastAsia="仿宋_GB2312"/>
          <w:color w:val="auto"/>
          <w:spacing w:val="0"/>
          <w:sz w:val="32"/>
          <w:szCs w:val="32"/>
          <w:highlight w:val="none"/>
          <w:lang w:val="en-US" w:eastAsia="zh-CN"/>
        </w:rPr>
        <w:t>二是上级拨付专项资金减少。</w:t>
      </w:r>
      <w:r>
        <w:rPr>
          <w:rFonts w:hint="eastAsia" w:ascii="仿宋_GB2312" w:eastAsia="仿宋_GB2312"/>
          <w:b/>
          <w:bCs/>
          <w:color w:val="auto"/>
          <w:spacing w:val="0"/>
          <w:sz w:val="32"/>
          <w:szCs w:val="32"/>
          <w:highlight w:val="none"/>
          <w:lang w:eastAsia="zh-CN"/>
        </w:rPr>
        <w:t>与年初预算相比，</w:t>
      </w:r>
      <w:r>
        <w:rPr>
          <w:rFonts w:hint="eastAsia" w:ascii="仿宋_GB2312" w:eastAsia="仿宋_GB2312"/>
          <w:color w:val="auto"/>
          <w:spacing w:val="0"/>
          <w:sz w:val="32"/>
          <w:szCs w:val="32"/>
          <w:highlight w:val="none"/>
          <w:lang w:eastAsia="zh-CN"/>
        </w:rPr>
        <w:t>年初预算数</w:t>
      </w:r>
      <w:r>
        <w:rPr>
          <w:rFonts w:hint="eastAsia" w:ascii="仿宋_GB2312" w:eastAsia="仿宋_GB2312"/>
          <w:color w:val="auto"/>
          <w:spacing w:val="0"/>
          <w:sz w:val="32"/>
          <w:szCs w:val="32"/>
          <w:highlight w:val="none"/>
          <w:lang w:val="zh-CN" w:eastAsia="zh-CN"/>
        </w:rPr>
        <w:t>489.91</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583.62</w:t>
      </w:r>
      <w:r>
        <w:rPr>
          <w:rFonts w:hint="eastAsia" w:ascii="仿宋_GB2312" w:eastAsia="仿宋_GB2312"/>
          <w:color w:val="auto"/>
          <w:spacing w:val="0"/>
          <w:sz w:val="32"/>
          <w:szCs w:val="32"/>
          <w:highlight w:val="none"/>
          <w:lang w:eastAsia="zh-CN"/>
        </w:rPr>
        <w:t>万元，预决算差异率19.13%，主要原因是：</w:t>
      </w:r>
      <w:r>
        <w:rPr>
          <w:rFonts w:hint="eastAsia" w:ascii="仿宋_GB2312" w:eastAsia="仿宋_GB2312"/>
          <w:color w:val="auto"/>
          <w:spacing w:val="0"/>
          <w:sz w:val="32"/>
          <w:szCs w:val="32"/>
          <w:highlight w:val="none"/>
          <w:lang w:val="en-US" w:eastAsia="zh-CN"/>
        </w:rPr>
        <w:t>本年度基础绩效奖和艰苦边远地区津贴调增，并对2022年度进行了补发。</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13833"/>
      <w:bookmarkStart w:id="17"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b/>
          <w:bCs/>
          <w:color w:val="auto"/>
          <w:spacing w:val="0"/>
          <w:sz w:val="32"/>
          <w:szCs w:val="32"/>
          <w:highlight w:val="none"/>
          <w:lang w:eastAsia="zh-CN"/>
        </w:rPr>
        <w:t>2023年度一般公共预算财政拨款支出583.62万元，</w:t>
      </w:r>
      <w:r>
        <w:rPr>
          <w:rFonts w:hint="eastAsia" w:ascii="仿宋_GB2312" w:eastAsia="仿宋_GB2312"/>
          <w:color w:val="auto"/>
          <w:spacing w:val="0"/>
          <w:sz w:val="32"/>
          <w:szCs w:val="32"/>
          <w:highlight w:val="none"/>
          <w:lang w:eastAsia="zh-CN"/>
        </w:rPr>
        <w:t>占本年支出合计的</w:t>
      </w:r>
      <w:r>
        <w:rPr>
          <w:rFonts w:hint="eastAsia" w:ascii="仿宋_GB2312" w:eastAsia="仿宋_GB2312"/>
          <w:color w:val="auto"/>
          <w:spacing w:val="0"/>
          <w:sz w:val="32"/>
          <w:szCs w:val="32"/>
          <w:highlight w:val="none"/>
          <w:lang w:val="zh-CN" w:eastAsia="zh-CN"/>
        </w:rPr>
        <w:t>100.00%</w:t>
      </w:r>
      <w:r>
        <w:rPr>
          <w:rFonts w:hint="eastAsia" w:ascii="仿宋_GB2312" w:eastAsia="仿宋_GB2312"/>
          <w:color w:val="auto"/>
          <w:spacing w:val="0"/>
          <w:sz w:val="32"/>
          <w:szCs w:val="32"/>
          <w:highlight w:val="none"/>
          <w:lang w:eastAsia="zh-CN"/>
        </w:rPr>
        <w:t>。</w:t>
      </w:r>
      <w:r>
        <w:rPr>
          <w:rFonts w:hint="eastAsia" w:ascii="仿宋_GB2312" w:eastAsia="仿宋_GB2312"/>
          <w:b/>
          <w:bCs/>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减少36.22万元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下降5.84%，</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pacing w:val="0"/>
          <w:sz w:val="32"/>
          <w:szCs w:val="32"/>
          <w:highlight w:val="none"/>
          <w:lang w:val="en-US" w:eastAsia="zh-CN"/>
        </w:rPr>
        <w:t>一是退休</w:t>
      </w:r>
      <w:r>
        <w:rPr>
          <w:rFonts w:hint="eastAsia" w:ascii="仿宋_GB2312" w:eastAsia="仿宋_GB2312"/>
          <w:b w:val="0"/>
          <w:bCs w:val="0"/>
          <w:color w:val="auto"/>
          <w:sz w:val="32"/>
          <w:szCs w:val="32"/>
          <w:highlight w:val="none"/>
          <w:lang w:val="en-US" w:eastAsia="zh-CN"/>
        </w:rPr>
        <w:t>人员变动，职业年金缴费相应减少，</w:t>
      </w:r>
      <w:r>
        <w:rPr>
          <w:rFonts w:hint="eastAsia" w:eastAsia="仿宋_GB2312" w:cs="Times New Roman"/>
          <w:color w:val="auto"/>
          <w:kern w:val="2"/>
          <w:sz w:val="32"/>
          <w:szCs w:val="32"/>
          <w:highlight w:val="none"/>
          <w:lang w:val="en-US" w:eastAsia="zh-CN" w:bidi="ar-SA"/>
        </w:rPr>
        <w:t>本年度退休人员医疗费和公务员医疗按照医保局政策要求进行了退费，上年度在</w:t>
      </w:r>
      <w:r>
        <w:rPr>
          <w:rFonts w:hint="eastAsia" w:ascii="Times New Roman" w:hAnsi="Times New Roman" w:eastAsia="仿宋_GB2312" w:cs="Times New Roman"/>
          <w:color w:val="auto"/>
          <w:kern w:val="2"/>
          <w:sz w:val="32"/>
          <w:szCs w:val="32"/>
          <w:highlight w:val="none"/>
          <w:lang w:val="en-US" w:eastAsia="zh-CN" w:bidi="ar-SA"/>
        </w:rPr>
        <w:t>行政单位离退休（项）</w:t>
      </w:r>
      <w:r>
        <w:rPr>
          <w:rFonts w:hint="eastAsia" w:eastAsia="仿宋_GB2312" w:cs="Times New Roman"/>
          <w:color w:val="auto"/>
          <w:kern w:val="2"/>
          <w:sz w:val="32"/>
          <w:szCs w:val="32"/>
          <w:highlight w:val="none"/>
          <w:lang w:val="en-US" w:eastAsia="zh-CN" w:bidi="ar-SA"/>
        </w:rPr>
        <w:t>正常缴纳</w:t>
      </w:r>
      <w:r>
        <w:rPr>
          <w:rFonts w:hint="eastAsia" w:eastAsia="仿宋_GB2312" w:cs="Times New Roman"/>
          <w:color w:val="auto"/>
          <w:kern w:val="2"/>
          <w:sz w:val="32"/>
          <w:szCs w:val="32"/>
          <w:highlight w:val="none"/>
          <w:lang w:val="zh-CN" w:eastAsia="zh-CN" w:bidi="ar-SA"/>
        </w:rPr>
        <w:t>。</w:t>
      </w:r>
      <w:r>
        <w:rPr>
          <w:rFonts w:hint="eastAsia" w:ascii="仿宋_GB2312" w:eastAsia="仿宋_GB2312"/>
          <w:b w:val="0"/>
          <w:bCs w:val="0"/>
          <w:color w:val="auto"/>
          <w:sz w:val="32"/>
          <w:szCs w:val="32"/>
          <w:highlight w:val="none"/>
          <w:lang w:val="en-US" w:eastAsia="zh-CN"/>
        </w:rPr>
        <w:t>二是上级拨付专项资金减少。</w:t>
      </w:r>
      <w:r>
        <w:rPr>
          <w:rFonts w:hint="eastAsia" w:ascii="仿宋_GB2312" w:eastAsia="仿宋_GB2312"/>
          <w:b/>
          <w:bCs/>
          <w:color w:val="auto"/>
          <w:spacing w:val="0"/>
          <w:sz w:val="32"/>
          <w:szCs w:val="32"/>
          <w:highlight w:val="none"/>
          <w:lang w:eastAsia="zh-CN"/>
        </w:rPr>
        <w:t>与年初预算相比，</w:t>
      </w:r>
      <w:r>
        <w:rPr>
          <w:rFonts w:hint="eastAsia" w:ascii="仿宋_GB2312" w:eastAsia="仿宋_GB2312"/>
          <w:color w:val="auto"/>
          <w:spacing w:val="0"/>
          <w:sz w:val="32"/>
          <w:szCs w:val="32"/>
          <w:highlight w:val="none"/>
          <w:lang w:eastAsia="zh-CN"/>
        </w:rPr>
        <w:t>年初预算数</w:t>
      </w:r>
      <w:r>
        <w:rPr>
          <w:rFonts w:hint="eastAsia" w:ascii="仿宋_GB2312" w:eastAsia="仿宋_GB2312"/>
          <w:color w:val="auto"/>
          <w:spacing w:val="0"/>
          <w:sz w:val="32"/>
          <w:szCs w:val="32"/>
          <w:highlight w:val="none"/>
          <w:lang w:val="zh-CN" w:eastAsia="zh-CN"/>
        </w:rPr>
        <w:t>489.91</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583.62</w:t>
      </w:r>
      <w:r>
        <w:rPr>
          <w:rFonts w:hint="eastAsia" w:ascii="仿宋_GB2312" w:eastAsia="仿宋_GB2312"/>
          <w:color w:val="auto"/>
          <w:spacing w:val="0"/>
          <w:sz w:val="32"/>
          <w:szCs w:val="32"/>
          <w:highlight w:val="none"/>
          <w:lang w:eastAsia="zh-CN"/>
        </w:rPr>
        <w:t>万元，预决算差异率</w:t>
      </w:r>
      <w:r>
        <w:rPr>
          <w:rFonts w:hint="eastAsia" w:ascii="仿宋_GB2312" w:eastAsia="仿宋_GB2312"/>
          <w:color w:val="auto"/>
          <w:spacing w:val="0"/>
          <w:sz w:val="32"/>
          <w:szCs w:val="32"/>
          <w:highlight w:val="none"/>
          <w:lang w:val="zh-CN" w:eastAsia="zh-CN"/>
        </w:rPr>
        <w:t>19.13%</w:t>
      </w:r>
      <w:r>
        <w:rPr>
          <w:rFonts w:hint="eastAsia" w:ascii="仿宋_GB2312" w:eastAsia="仿宋_GB2312"/>
          <w:color w:val="auto"/>
          <w:spacing w:val="0"/>
          <w:sz w:val="32"/>
          <w:szCs w:val="32"/>
          <w:highlight w:val="none"/>
          <w:lang w:eastAsia="zh-CN"/>
        </w:rPr>
        <w:t>，主要原因是：</w:t>
      </w:r>
      <w:r>
        <w:rPr>
          <w:rFonts w:hint="eastAsia" w:ascii="仿宋_GB2312" w:eastAsia="仿宋_GB2312"/>
          <w:b w:val="0"/>
          <w:bCs w:val="0"/>
          <w:color w:val="auto"/>
          <w:spacing w:val="0"/>
          <w:sz w:val="32"/>
          <w:szCs w:val="32"/>
          <w:highlight w:val="none"/>
          <w:lang w:val="en-US" w:eastAsia="zh-CN"/>
        </w:rPr>
        <w:t>本年度基础绩效奖和艰苦边远地区津贴调增，并对2022年度进行了补发。</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1</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公共安全类支出（类）</w:t>
      </w:r>
      <w:r>
        <w:rPr>
          <w:rFonts w:hint="eastAsia" w:ascii="仿宋_GB2312" w:hAnsi="Times New Roman" w:eastAsia="仿宋_GB2312" w:cs="Times New Roman"/>
          <w:color w:val="auto"/>
          <w:spacing w:val="0"/>
          <w:kern w:val="2"/>
          <w:sz w:val="32"/>
          <w:szCs w:val="32"/>
          <w:highlight w:val="none"/>
          <w:lang w:val="zh-CN" w:eastAsia="zh-CN" w:bidi="ar-SA"/>
        </w:rPr>
        <w:t>460.02</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78.82</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2</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社会保障和就业支出（类）</w:t>
      </w:r>
      <w:r>
        <w:rPr>
          <w:rFonts w:hint="eastAsia" w:ascii="仿宋_GB2312" w:hAnsi="Times New Roman" w:eastAsia="仿宋_GB2312" w:cs="Times New Roman"/>
          <w:color w:val="auto"/>
          <w:spacing w:val="0"/>
          <w:kern w:val="2"/>
          <w:sz w:val="32"/>
          <w:szCs w:val="32"/>
          <w:highlight w:val="none"/>
          <w:lang w:val="zh-CN" w:eastAsia="zh-CN" w:bidi="ar-SA"/>
        </w:rPr>
        <w:t>74.73</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12.80</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3</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卫生健康支出（类）</w:t>
      </w:r>
      <w:r>
        <w:rPr>
          <w:rFonts w:hint="eastAsia" w:ascii="仿宋_GB2312" w:hAnsi="Times New Roman" w:eastAsia="仿宋_GB2312" w:cs="Times New Roman"/>
          <w:color w:val="auto"/>
          <w:spacing w:val="0"/>
          <w:kern w:val="2"/>
          <w:sz w:val="32"/>
          <w:szCs w:val="32"/>
          <w:highlight w:val="none"/>
          <w:lang w:val="zh-CN" w:eastAsia="zh-CN" w:bidi="ar-SA"/>
        </w:rPr>
        <w:t>20.34</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3.48</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4</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农林水支出（类）</w:t>
      </w:r>
      <w:r>
        <w:rPr>
          <w:rFonts w:hint="eastAsia" w:ascii="仿宋_GB2312" w:hAnsi="Times New Roman" w:eastAsia="仿宋_GB2312" w:cs="Times New Roman"/>
          <w:color w:val="auto"/>
          <w:spacing w:val="0"/>
          <w:kern w:val="2"/>
          <w:sz w:val="32"/>
          <w:szCs w:val="32"/>
          <w:highlight w:val="none"/>
          <w:lang w:val="zh-CN" w:eastAsia="zh-CN" w:bidi="ar-SA"/>
        </w:rPr>
        <w:t>1.17</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0.20</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5</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住房保障支出（类）</w:t>
      </w:r>
      <w:r>
        <w:rPr>
          <w:rFonts w:hint="eastAsia" w:ascii="仿宋_GB2312" w:hAnsi="Times New Roman" w:eastAsia="仿宋_GB2312" w:cs="Times New Roman"/>
          <w:color w:val="auto"/>
          <w:spacing w:val="0"/>
          <w:kern w:val="2"/>
          <w:sz w:val="32"/>
          <w:szCs w:val="32"/>
          <w:highlight w:val="none"/>
          <w:lang w:val="zh-CN" w:eastAsia="zh-CN" w:bidi="ar-SA"/>
        </w:rPr>
        <w:t>27.37</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4.69</w:t>
      </w:r>
      <w:r>
        <w:rPr>
          <w:rFonts w:hint="default"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1.公共安全支出（类）其他公共安全支出（款）其他公共安全支出（项）:支出决算数为0.72万元，比上年决算减少0.28万元，下降28.00%，主要原因是：上级拨付此类专项资金减少</w:t>
      </w:r>
      <w:r>
        <w:rPr>
          <w:rFonts w:hint="eastAsia"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2.公共安全支出（类）司法（款）普法宣传（项）:支出决算数为3.00万元，比上年决算增加0.00万元，增长0.00%，主要原因是：本年度无变化</w:t>
      </w:r>
      <w:r>
        <w:rPr>
          <w:rFonts w:hint="eastAsia"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3.卫生健康支出（类）行政事业单位医疗（款）行政单位医疗（项）:支出决算数为14.25万元，比上年决算减少3.02万元，下降17.49%，主要原因是：在职人员减少，医疗基数调整，支出下降</w:t>
      </w:r>
      <w:r>
        <w:rPr>
          <w:rFonts w:hint="eastAsia"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4.卫生健康支出（类）行政事业单位医疗（款）公务员医疗补助（项）:支出决算数为6.08万元，比上年决算减少2.00万元，下降24.75%，主要原因是：在职人员减少，公务员医疗基数调</w:t>
      </w:r>
      <w:r>
        <w:rPr>
          <w:rFonts w:hint="eastAsia" w:ascii="仿宋_GB2312" w:eastAsia="仿宋_GB2312" w:cs="Times New Roman"/>
          <w:color w:val="auto"/>
          <w:spacing w:val="0"/>
          <w:kern w:val="2"/>
          <w:sz w:val="32"/>
          <w:szCs w:val="32"/>
          <w:highlight w:val="none"/>
          <w:lang w:val="en-US" w:eastAsia="zh-CN" w:bidi="ar-SA"/>
        </w:rPr>
        <w:t>减</w:t>
      </w:r>
      <w:r>
        <w:rPr>
          <w:rFonts w:hint="eastAsia" w:ascii="仿宋_GB2312" w:hAnsi="Times New Roman" w:eastAsia="仿宋_GB2312" w:cs="Times New Roman"/>
          <w:color w:val="auto"/>
          <w:spacing w:val="0"/>
          <w:kern w:val="2"/>
          <w:sz w:val="32"/>
          <w:szCs w:val="32"/>
          <w:highlight w:val="none"/>
          <w:lang w:val="en-US" w:eastAsia="zh-CN" w:bidi="ar-SA"/>
        </w:rPr>
        <w:t>，支出下降</w:t>
      </w:r>
      <w:r>
        <w:rPr>
          <w:rFonts w:hint="eastAsia"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5.住房保障支出（类）住房改革支出（款）住房公积金（项）:支出决算数为27.37万元，比上年决算增加0.96万元，增长3.64%，主要原因是：年中公积金基数上调，住房公积金支出增加</w:t>
      </w:r>
      <w:r>
        <w:rPr>
          <w:rFonts w:hint="eastAsia"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6.社会保障和就业支出（类）行政事业单位养老支出（款）行政单位离退休（项）:支出决算数为16.40万元，比上年决算减少20.16万元，下降55.14%，主要原因是：本年度退休人员医疗费和公务员医疗按照医保局政策要求进行了退费，上年度在行政单位离退休（项）正常缴纳</w:t>
      </w:r>
      <w:r>
        <w:rPr>
          <w:rFonts w:hint="eastAsia" w:ascii="仿宋_GB2312" w:eastAsia="仿宋_GB2312" w:cs="Times New Roman"/>
          <w:color w:val="auto"/>
          <w:spacing w:val="0"/>
          <w:kern w:val="2"/>
          <w:sz w:val="32"/>
          <w:szCs w:val="32"/>
          <w:highlight w:val="none"/>
          <w:lang w:val="en-US" w:eastAsia="zh-CN" w:bidi="ar-SA"/>
        </w:rPr>
        <w:t>，支出减少</w:t>
      </w:r>
      <w:r>
        <w:rPr>
          <w:rFonts w:hint="eastAsia" w:ascii="仿宋_GB2312" w:hAnsi="Times New Roman" w:eastAsia="仿宋_GB2312" w:cs="Times New Roman"/>
          <w:color w:val="auto"/>
          <w:spacing w:val="0"/>
          <w:kern w:val="2"/>
          <w:sz w:val="32"/>
          <w:szCs w:val="32"/>
          <w:highlight w:val="none"/>
          <w:lang w:val="zh-CN" w:eastAsia="zh-CN" w:bidi="ar-SA"/>
        </w:rPr>
        <w:t>。</w:t>
      </w:r>
      <w:bookmarkStart w:id="48" w:name="_GoBack"/>
      <w:bookmarkEnd w:id="48"/>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7.公共安全支出（类）司法（款）行政运行（项）:支出决算数为354.17万元，比上年决算减少3.37万元，下降0.94%，主要原因是</w:t>
      </w:r>
      <w:r>
        <w:rPr>
          <w:rFonts w:hint="eastAsia" w:ascii="仿宋_GB2312" w:eastAsia="仿宋_GB2312" w:cs="Times New Roman"/>
          <w:color w:val="auto"/>
          <w:spacing w:val="0"/>
          <w:kern w:val="2"/>
          <w:sz w:val="32"/>
          <w:szCs w:val="32"/>
          <w:highlight w:val="none"/>
          <w:lang w:val="en-US" w:eastAsia="zh-CN" w:bidi="ar-SA"/>
        </w:rPr>
        <w:t>：</w:t>
      </w:r>
      <w:r>
        <w:rPr>
          <w:rFonts w:hint="eastAsia" w:ascii="仿宋_GB2312" w:hAnsi="Times New Roman" w:eastAsia="仿宋_GB2312" w:cs="Times New Roman"/>
          <w:color w:val="auto"/>
          <w:spacing w:val="0"/>
          <w:kern w:val="2"/>
          <w:sz w:val="32"/>
          <w:szCs w:val="32"/>
          <w:highlight w:val="none"/>
          <w:lang w:val="en-US" w:eastAsia="zh-CN" w:bidi="ar-SA"/>
        </w:rPr>
        <w:t>在职人员减少，</w:t>
      </w:r>
      <w:r>
        <w:rPr>
          <w:rFonts w:hint="eastAsia" w:ascii="仿宋_GB2312" w:eastAsia="仿宋_GB2312" w:cs="Times New Roman"/>
          <w:color w:val="auto"/>
          <w:spacing w:val="0"/>
          <w:kern w:val="2"/>
          <w:sz w:val="32"/>
          <w:szCs w:val="32"/>
          <w:highlight w:val="none"/>
          <w:lang w:val="en-US" w:eastAsia="zh-CN" w:bidi="ar-SA"/>
        </w:rPr>
        <w:t>在职人员工资福利支出</w:t>
      </w:r>
      <w:r>
        <w:rPr>
          <w:rFonts w:hint="eastAsia" w:ascii="仿宋_GB2312" w:hAnsi="Times New Roman" w:eastAsia="仿宋_GB2312" w:cs="Times New Roman"/>
          <w:color w:val="auto"/>
          <w:spacing w:val="0"/>
          <w:kern w:val="2"/>
          <w:sz w:val="32"/>
          <w:szCs w:val="32"/>
          <w:highlight w:val="none"/>
          <w:lang w:val="en-US" w:eastAsia="zh-CN" w:bidi="ar-SA"/>
        </w:rPr>
        <w:t>相应减少。</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default" w:ascii="仿宋_GB2312" w:hAnsi="Times New Roman" w:eastAsia="仿宋_GB2312" w:cs="Times New Roman"/>
          <w:color w:val="auto"/>
          <w:spacing w:val="0"/>
          <w:kern w:val="2"/>
          <w:sz w:val="32"/>
          <w:szCs w:val="32"/>
          <w:highlight w:val="none"/>
          <w:lang w:val="en-US"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8.社会保障和就业支出（类）行政事业单位养老支出（款）机关事业单位职业年金缴费支出（项）:支出决算数为22.86万元，比上年决算减少11.09万元，下降32.67%，主要原因是：本年度退休人员比上年度退休人员减少2人，本年度退休3人，职业年金缴费支出减少。</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9.公共安全支出（类）司法（款）其他司法支出（项）:支出决算数为102.13万元，比上年决算减少0.09万元，下降0.09%，主要原因是：上级拨付此类专项资金减少</w:t>
      </w:r>
      <w:r>
        <w:rPr>
          <w:rFonts w:hint="eastAsia"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10.社会保障和就业支出（类）行政事业单位养老支出（款）机关事业单位基本养老保险缴费支出（项）:支出决算数为35.48万元，比上年决算增加3.41万元，增长10.63%，主要原因是：在职人员养老基数上调</w:t>
      </w:r>
      <w:r>
        <w:rPr>
          <w:rFonts w:hint="eastAsia"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11.农林水支出（类）农业农村（款）其他农业农村支出（项）:支出决算数为1.17万元，比上年决算增加1.17万元，增长100%，主要原因是：为民办实事服务经费本年度在其他农业农村支出（项）反映，上年度在其他支出（项）反映</w:t>
      </w:r>
      <w:r>
        <w:rPr>
          <w:rFonts w:hint="eastAsia"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12.其他支出（类）其他支出（款）其他支出（项）:支出决算数为0.00万元，比上年决算减少1.73万元，下降100%，主要原因是：为民办实事服务经费上年度在其他支出（项）反映，本年度在其他农业农村支出（项）反映</w:t>
      </w:r>
      <w:r>
        <w:rPr>
          <w:rFonts w:hint="eastAsia"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eastAsia="zh-CN"/>
        </w:rPr>
        <w:t>480.3</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rPr>
        <w:t>万元，其中：</w:t>
      </w:r>
      <w:r>
        <w:rPr>
          <w:rFonts w:hint="eastAsia" w:ascii="仿宋_GB2312" w:eastAsia="仿宋_GB2312"/>
          <w:b/>
          <w:bCs/>
          <w:color w:val="auto"/>
          <w:sz w:val="32"/>
          <w:szCs w:val="32"/>
          <w:highlight w:val="none"/>
          <w:lang w:val="en-US" w:eastAsia="zh-CN"/>
        </w:rPr>
        <w:t>人员经费446.39万元</w:t>
      </w:r>
      <w:r>
        <w:rPr>
          <w:rFonts w:hint="eastAsia" w:ascii="仿宋_GB2312" w:eastAsia="仿宋_GB2312"/>
          <w:b/>
          <w:bCs/>
          <w:color w:val="auto"/>
          <w:sz w:val="32"/>
          <w:szCs w:val="32"/>
          <w:highlight w:val="none"/>
        </w:rPr>
        <w:t>，</w:t>
      </w:r>
      <w:r>
        <w:rPr>
          <w:rFonts w:hint="eastAsia" w:ascii="仿宋_GB2312" w:eastAsia="仿宋_GB2312"/>
          <w:color w:val="auto"/>
          <w:sz w:val="32"/>
          <w:szCs w:val="32"/>
          <w:highlight w:val="none"/>
        </w:rPr>
        <w:t>包括：</w:t>
      </w:r>
      <w:r>
        <w:rPr>
          <w:rFonts w:hint="eastAsia" w:ascii="仿宋_GB2312" w:eastAsia="仿宋_GB2312"/>
          <w:color w:val="auto"/>
          <w:sz w:val="32"/>
          <w:szCs w:val="32"/>
          <w:highlight w:val="none"/>
          <w:lang w:val="en-US" w:eastAsia="zh-CN"/>
        </w:rPr>
        <w:t>基本工资、津贴补贴、奖金、绩效工资、机关事业单位基本养老保险缴费、职业年金缴费、职工基本医疗保险缴费、公务员医疗补助缴费、其他社会保障缴费、住房公积金、其他工资福利支出、退休费、医疗费补助、奖励金。</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default" w:ascii="仿宋_GB2312" w:eastAsia="仿宋_GB2312"/>
          <w:color w:val="auto"/>
          <w:sz w:val="32"/>
          <w:szCs w:val="32"/>
          <w:highlight w:val="red"/>
          <w:lang w:val="en-US" w:eastAsia="zh-CN"/>
        </w:rPr>
      </w:pPr>
      <w:r>
        <w:rPr>
          <w:rFonts w:hint="eastAsia" w:ascii="仿宋_GB2312" w:eastAsia="仿宋_GB2312"/>
          <w:b/>
          <w:bCs/>
          <w:color w:val="auto"/>
          <w:sz w:val="32"/>
          <w:szCs w:val="32"/>
          <w:highlight w:val="none"/>
        </w:rPr>
        <w:t>公用经费</w:t>
      </w:r>
      <w:r>
        <w:rPr>
          <w:rFonts w:hint="eastAsia" w:ascii="仿宋_GB2312" w:eastAsia="仿宋_GB2312"/>
          <w:b/>
          <w:bCs/>
          <w:color w:val="auto"/>
          <w:sz w:val="32"/>
          <w:szCs w:val="32"/>
          <w:highlight w:val="none"/>
          <w:lang w:eastAsia="zh-CN"/>
        </w:rPr>
        <w:t>33.92</w:t>
      </w:r>
      <w:r>
        <w:rPr>
          <w:rFonts w:hint="eastAsia" w:ascii="仿宋_GB2312" w:eastAsia="仿宋_GB2312"/>
          <w:b/>
          <w:bCs/>
          <w:color w:val="auto"/>
          <w:sz w:val="32"/>
          <w:szCs w:val="32"/>
          <w:highlight w:val="none"/>
        </w:rPr>
        <w:t>万元，</w:t>
      </w:r>
      <w:r>
        <w:rPr>
          <w:rFonts w:hint="eastAsia" w:ascii="仿宋_GB2312" w:eastAsia="仿宋_GB2312"/>
          <w:color w:val="auto"/>
          <w:sz w:val="32"/>
          <w:szCs w:val="32"/>
          <w:highlight w:val="none"/>
        </w:rPr>
        <w:t>包括：</w:t>
      </w:r>
      <w:r>
        <w:rPr>
          <w:rFonts w:hint="eastAsia" w:ascii="仿宋_GB2312" w:eastAsia="仿宋_GB2312"/>
          <w:color w:val="auto"/>
          <w:sz w:val="32"/>
          <w:szCs w:val="32"/>
          <w:highlight w:val="none"/>
          <w:lang w:val="en-US" w:eastAsia="zh-CN"/>
        </w:rPr>
        <w:t>办公费、水费、电费、取暖费、差旅费、维修（护）费、专用燃料费、劳务费、工会经费、公务用车运行维护费、其他商品和服务支出。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b/>
          <w:bCs/>
          <w:color w:val="auto"/>
          <w:sz w:val="32"/>
          <w:szCs w:val="32"/>
          <w:highlight w:val="none"/>
          <w:lang w:val="zh-CN" w:eastAsia="zh-CN"/>
        </w:rPr>
        <w:t>2023年度</w:t>
      </w:r>
      <w:r>
        <w:rPr>
          <w:rFonts w:hint="eastAsia" w:ascii="仿宋_GB2312" w:eastAsia="仿宋_GB2312"/>
          <w:b/>
          <w:bCs/>
          <w:color w:val="auto"/>
          <w:sz w:val="32"/>
          <w:szCs w:val="32"/>
          <w:highlight w:val="none"/>
          <w:lang w:val="en-US" w:eastAsia="zh-CN"/>
        </w:rPr>
        <w:t>财政拨款</w:t>
      </w:r>
      <w:r>
        <w:rPr>
          <w:rFonts w:hint="eastAsia" w:ascii="仿宋_GB2312" w:eastAsia="仿宋_GB2312"/>
          <w:b/>
          <w:bCs/>
          <w:color w:val="auto"/>
          <w:sz w:val="32"/>
          <w:szCs w:val="32"/>
          <w:highlight w:val="none"/>
          <w:lang w:val="zh-CN" w:eastAsia="zh-CN"/>
        </w:rPr>
        <w:t>“三公”经费支出10.27万元，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减少0.98万元，下降</w:t>
      </w:r>
      <w:r>
        <w:rPr>
          <w:rFonts w:hint="eastAsia" w:ascii="仿宋_GB2312" w:eastAsia="仿宋_GB2312"/>
          <w:color w:val="auto"/>
          <w:sz w:val="32"/>
          <w:szCs w:val="32"/>
          <w:highlight w:val="none"/>
          <w:lang w:val="en-US" w:eastAsia="zh-CN"/>
        </w:rPr>
        <w:t>8.71</w:t>
      </w:r>
      <w:r>
        <w:rPr>
          <w:rFonts w:hint="eastAsia" w:ascii="仿宋_GB2312" w:eastAsia="仿宋_GB2312"/>
          <w:color w:val="auto"/>
          <w:sz w:val="32"/>
          <w:szCs w:val="32"/>
          <w:highlight w:val="none"/>
          <w:lang w:val="zh-CN" w:eastAsia="zh-CN"/>
        </w:rPr>
        <w:t>%，主要原因是：</w:t>
      </w:r>
      <w:r>
        <w:rPr>
          <w:rFonts w:hint="eastAsia" w:ascii="仿宋_GB2312" w:eastAsia="仿宋_GB2312"/>
          <w:color w:val="auto"/>
          <w:sz w:val="32"/>
          <w:szCs w:val="32"/>
          <w:highlight w:val="none"/>
          <w:lang w:val="en-US" w:eastAsia="zh-CN"/>
        </w:rPr>
        <w:t>本年我单位厉行节约，</w:t>
      </w:r>
      <w:r>
        <w:rPr>
          <w:rFonts w:hint="eastAsia" w:ascii="仿宋_GB2312" w:eastAsia="仿宋_GB2312"/>
          <w:color w:val="auto"/>
          <w:sz w:val="32"/>
          <w:szCs w:val="32"/>
          <w:highlight w:val="none"/>
          <w:lang w:val="zh-CN" w:eastAsia="zh-CN"/>
        </w:rPr>
        <w:t>“三公”经费支出</w:t>
      </w:r>
      <w:r>
        <w:rPr>
          <w:rFonts w:hint="eastAsia" w:ascii="仿宋_GB2312" w:eastAsia="仿宋_GB2312"/>
          <w:color w:val="auto"/>
          <w:sz w:val="32"/>
          <w:szCs w:val="32"/>
          <w:highlight w:val="none"/>
          <w:lang w:val="en-US" w:eastAsia="zh-CN"/>
        </w:rPr>
        <w:t>减少；</w:t>
      </w:r>
      <w:r>
        <w:rPr>
          <w:rFonts w:hint="eastAsia" w:ascii="仿宋_GB2312" w:eastAsia="仿宋_GB2312"/>
          <w:color w:val="auto"/>
          <w:sz w:val="32"/>
          <w:szCs w:val="32"/>
          <w:highlight w:val="none"/>
          <w:lang w:val="zh-CN" w:eastAsia="zh-CN"/>
        </w:rPr>
        <w:t>其中：因公出国（境）费支出0.00万元，占0.00%，比上年增加0.00万元，增长0.00%，主要原因是：</w:t>
      </w:r>
      <w:r>
        <w:rPr>
          <w:rFonts w:hint="eastAsia" w:ascii="仿宋_GB2312" w:eastAsia="仿宋_GB2312"/>
          <w:color w:val="auto"/>
          <w:sz w:val="32"/>
          <w:szCs w:val="32"/>
          <w:highlight w:val="none"/>
          <w:lang w:val="en-US" w:eastAsia="zh-CN"/>
        </w:rPr>
        <w:t>我单位无</w:t>
      </w:r>
      <w:r>
        <w:rPr>
          <w:rFonts w:hint="eastAsia" w:ascii="仿宋_GB2312" w:eastAsia="仿宋_GB2312"/>
          <w:color w:val="auto"/>
          <w:sz w:val="32"/>
          <w:szCs w:val="32"/>
          <w:highlight w:val="none"/>
          <w:lang w:val="zh-CN" w:eastAsia="zh-CN"/>
        </w:rPr>
        <w:t>因公出国（境）费支出；公务用车购置及运行维护费支出10.27万元，占100.00%，比上年减少0.98万元，下降8.7</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lang w:val="zh-CN" w:eastAsia="zh-CN"/>
        </w:rPr>
        <w:t>%，主要原因是：</w:t>
      </w:r>
      <w:r>
        <w:rPr>
          <w:rFonts w:hint="eastAsia" w:ascii="仿宋_GB2312" w:eastAsia="仿宋_GB2312"/>
          <w:color w:val="auto"/>
          <w:sz w:val="32"/>
          <w:szCs w:val="32"/>
          <w:highlight w:val="none"/>
          <w:lang w:val="en-US" w:eastAsia="zh-CN"/>
        </w:rPr>
        <w:t>本年我单位厉行节约，公务用车车辆维修费减少</w:t>
      </w:r>
      <w:r>
        <w:rPr>
          <w:rFonts w:hint="eastAsia" w:ascii="仿宋_GB2312" w:eastAsia="仿宋_GB2312"/>
          <w:color w:val="auto"/>
          <w:sz w:val="32"/>
          <w:szCs w:val="32"/>
          <w:highlight w:val="none"/>
          <w:lang w:val="zh-CN" w:eastAsia="zh-CN"/>
        </w:rPr>
        <w:t>；公务接待费支出0.00万元，占0.00%，比上年增加0.00万元，增长0.00%，主要原因是：</w:t>
      </w:r>
      <w:r>
        <w:rPr>
          <w:rFonts w:hint="eastAsia" w:ascii="仿宋_GB2312" w:eastAsia="仿宋_GB2312"/>
          <w:color w:val="auto"/>
          <w:sz w:val="32"/>
          <w:szCs w:val="32"/>
          <w:highlight w:val="none"/>
          <w:lang w:val="en-US" w:eastAsia="zh-CN"/>
        </w:rPr>
        <w:t>我单位无</w:t>
      </w:r>
      <w:r>
        <w:rPr>
          <w:rFonts w:hint="eastAsia" w:ascii="仿宋_GB2312" w:eastAsia="仿宋_GB2312"/>
          <w:color w:val="auto"/>
          <w:sz w:val="32"/>
          <w:szCs w:val="32"/>
          <w:highlight w:val="none"/>
          <w:lang w:val="zh-CN" w:eastAsia="zh-CN"/>
        </w:rPr>
        <w:t>公务接待费支出。</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b/>
          <w:bCs/>
          <w:color w:val="auto"/>
          <w:sz w:val="32"/>
          <w:szCs w:val="32"/>
          <w:highlight w:val="none"/>
          <w:lang w:val="zh-CN" w:eastAsia="zh-CN"/>
        </w:rPr>
      </w:pPr>
      <w:r>
        <w:rPr>
          <w:rFonts w:hint="eastAsia" w:ascii="仿宋_GB2312" w:eastAsia="仿宋_GB2312"/>
          <w:b/>
          <w:bCs/>
          <w:color w:val="auto"/>
          <w:sz w:val="32"/>
          <w:szCs w:val="32"/>
          <w:highlight w:val="none"/>
          <w:lang w:val="zh-CN" w:eastAsia="zh-CN"/>
        </w:rPr>
        <w:t>具体情况如下：</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因公出国（境）费支出0.00万元，开支内容包括</w:t>
      </w:r>
      <w:r>
        <w:rPr>
          <w:rFonts w:hint="eastAsia" w:ascii="仿宋_GB2312" w:eastAsia="仿宋_GB2312"/>
          <w:color w:val="auto"/>
          <w:sz w:val="32"/>
          <w:szCs w:val="32"/>
          <w:highlight w:val="none"/>
          <w:lang w:val="en-US" w:eastAsia="zh-CN"/>
        </w:rPr>
        <w:t>无此项开支内容</w:t>
      </w:r>
      <w:r>
        <w:rPr>
          <w:rFonts w:hint="eastAsia" w:ascii="仿宋_GB2312" w:eastAsia="仿宋_GB2312"/>
          <w:color w:val="auto"/>
          <w:sz w:val="32"/>
          <w:szCs w:val="32"/>
          <w:highlight w:val="none"/>
          <w:lang w:val="zh-CN" w:eastAsia="zh-CN"/>
        </w:rPr>
        <w:t>。单位全年安排的因公出国（境）团组0个，因公出国（境）0人次。</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公务用车购置及运行维护费10.27万元，其中：公务用车购置费0.00万元，公务用车运行维护费10.27万元。公务用车运行维护费开支内容包括</w:t>
      </w:r>
      <w:r>
        <w:rPr>
          <w:rFonts w:hint="eastAsia" w:ascii="仿宋_GB2312" w:eastAsia="仿宋_GB2312"/>
          <w:color w:val="auto"/>
          <w:sz w:val="32"/>
          <w:szCs w:val="32"/>
          <w:highlight w:val="none"/>
          <w:lang w:val="en-US" w:eastAsia="zh-CN"/>
        </w:rPr>
        <w:t>公务用车车辆保险、加油、维修等</w:t>
      </w:r>
      <w:r>
        <w:rPr>
          <w:rFonts w:hint="eastAsia" w:ascii="仿宋_GB2312" w:eastAsia="仿宋_GB2312"/>
          <w:color w:val="auto"/>
          <w:sz w:val="32"/>
          <w:szCs w:val="32"/>
          <w:highlight w:val="none"/>
          <w:lang w:val="zh-CN" w:eastAsia="zh-CN"/>
        </w:rPr>
        <w:t>。公务用车购置数0辆，公务用车保有量8辆。国有资产占用情况</w:t>
      </w:r>
      <w:r>
        <w:rPr>
          <w:rFonts w:hint="eastAsia" w:ascii="仿宋_GB2312" w:eastAsia="仿宋_GB2312"/>
          <w:color w:val="auto"/>
          <w:sz w:val="32"/>
          <w:szCs w:val="32"/>
          <w:highlight w:val="none"/>
          <w:lang w:val="en-US" w:eastAsia="zh-CN"/>
        </w:rPr>
        <w:t>中固定资产车辆</w:t>
      </w:r>
      <w:r>
        <w:rPr>
          <w:rFonts w:hint="eastAsia" w:ascii="仿宋_GB2312" w:eastAsia="仿宋_GB2312"/>
          <w:color w:val="auto"/>
          <w:sz w:val="32"/>
          <w:szCs w:val="32"/>
          <w:highlight w:val="none"/>
          <w:lang w:val="zh-CN" w:eastAsia="zh-CN"/>
        </w:rPr>
        <w:t>8辆，</w:t>
      </w:r>
      <w:r>
        <w:rPr>
          <w:rFonts w:hint="eastAsia" w:ascii="仿宋_GB2312" w:eastAsia="仿宋_GB2312"/>
          <w:color w:val="auto"/>
          <w:sz w:val="32"/>
          <w:szCs w:val="32"/>
          <w:highlight w:val="none"/>
          <w:lang w:val="en-US" w:eastAsia="zh-CN"/>
        </w:rPr>
        <w:t>与</w:t>
      </w:r>
      <w:r>
        <w:rPr>
          <w:rFonts w:hint="eastAsia" w:ascii="仿宋_GB2312" w:eastAsia="仿宋_GB2312"/>
          <w:color w:val="auto"/>
          <w:sz w:val="32"/>
          <w:szCs w:val="32"/>
          <w:highlight w:val="none"/>
          <w:lang w:val="zh-CN" w:eastAsia="zh-CN"/>
        </w:rPr>
        <w:t>公务用车</w:t>
      </w:r>
      <w:r>
        <w:rPr>
          <w:rFonts w:hint="eastAsia" w:ascii="仿宋_GB2312" w:eastAsia="仿宋_GB2312"/>
          <w:color w:val="auto"/>
          <w:sz w:val="32"/>
          <w:szCs w:val="32"/>
          <w:highlight w:val="none"/>
          <w:lang w:val="en-US" w:eastAsia="zh-CN"/>
        </w:rPr>
        <w:t>保有量无差异。</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公务接待费0.00万元，开支内容包括</w:t>
      </w:r>
      <w:r>
        <w:rPr>
          <w:rFonts w:hint="eastAsia" w:ascii="仿宋_GB2312" w:eastAsia="仿宋_GB2312"/>
          <w:sz w:val="32"/>
          <w:szCs w:val="32"/>
          <w:highlight w:val="none"/>
          <w:lang w:val="en-US" w:eastAsia="zh-CN"/>
        </w:rPr>
        <w:t>无此项开支内容</w:t>
      </w:r>
      <w:r>
        <w:rPr>
          <w:rFonts w:hint="eastAsia" w:ascii="仿宋_GB2312" w:eastAsia="仿宋_GB2312"/>
          <w:color w:val="auto"/>
          <w:sz w:val="32"/>
          <w:szCs w:val="32"/>
          <w:highlight w:val="none"/>
          <w:lang w:val="zh-CN" w:eastAsia="zh-CN"/>
        </w:rPr>
        <w:t>。单位全年安排的国内公务接待0批次，0人次。</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b/>
          <w:bCs/>
          <w:color w:val="auto"/>
          <w:sz w:val="32"/>
          <w:szCs w:val="32"/>
          <w:highlight w:val="none"/>
          <w:lang w:val="zh-CN" w:eastAsia="zh-CN"/>
        </w:rPr>
        <w:t>与</w:t>
      </w:r>
      <w:r>
        <w:rPr>
          <w:rFonts w:hint="eastAsia" w:ascii="仿宋_GB2312" w:eastAsia="仿宋_GB2312"/>
          <w:b/>
          <w:bCs/>
          <w:color w:val="auto"/>
          <w:sz w:val="32"/>
          <w:szCs w:val="32"/>
          <w:highlight w:val="none"/>
          <w:lang w:val="en-US" w:eastAsia="zh-CN"/>
        </w:rPr>
        <w:t>全年</w:t>
      </w:r>
      <w:r>
        <w:rPr>
          <w:rFonts w:hint="eastAsia" w:ascii="仿宋_GB2312" w:eastAsia="仿宋_GB2312"/>
          <w:b/>
          <w:bCs/>
          <w:color w:val="auto"/>
          <w:sz w:val="32"/>
          <w:szCs w:val="32"/>
          <w:highlight w:val="none"/>
          <w:lang w:val="zh-CN" w:eastAsia="zh-CN"/>
        </w:rPr>
        <w:t>预算相比</w:t>
      </w:r>
      <w:r>
        <w:rPr>
          <w:rFonts w:hint="eastAsia" w:ascii="仿宋_GB2312" w:eastAsia="仿宋_GB2312"/>
          <w:b/>
          <w:bCs/>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预算数10.27万元，决算数10.27万元，预决算差异率0.00%，主要原因是：财政拨款“三公”经费支出预算数和决算数无变化，</w:t>
      </w:r>
      <w:r>
        <w:rPr>
          <w:rFonts w:hint="eastAsia" w:ascii="仿宋_GB2312" w:eastAsia="仿宋_GB2312"/>
          <w:color w:val="auto"/>
          <w:sz w:val="32"/>
          <w:szCs w:val="32"/>
          <w:highlight w:val="none"/>
          <w:lang w:val="en-US" w:eastAsia="zh-CN"/>
        </w:rPr>
        <w:t>预决算无差异</w:t>
      </w:r>
      <w:r>
        <w:rPr>
          <w:rFonts w:hint="eastAsia" w:ascii="仿宋_GB2312" w:eastAsia="仿宋_GB2312"/>
          <w:color w:val="auto"/>
          <w:sz w:val="32"/>
          <w:szCs w:val="32"/>
          <w:highlight w:val="none"/>
          <w:lang w:val="zh-CN" w:eastAsia="zh-CN"/>
        </w:rPr>
        <w:t>。其中：因公出国（境）费</w:t>
      </w:r>
      <w:r>
        <w:rPr>
          <w:rFonts w:hint="eastAsia" w:ascii="仿宋_GB2312" w:eastAsia="仿宋_GB2312"/>
          <w:color w:val="auto"/>
          <w:sz w:val="32"/>
          <w:szCs w:val="32"/>
          <w:highlight w:val="none"/>
          <w:lang w:val="en-US" w:eastAsia="zh-CN"/>
        </w:rPr>
        <w:t>全年预算数</w:t>
      </w:r>
      <w:r>
        <w:rPr>
          <w:rFonts w:hint="eastAsia" w:ascii="仿宋_GB2312" w:eastAsia="仿宋_GB2312"/>
          <w:color w:val="auto"/>
          <w:sz w:val="32"/>
          <w:szCs w:val="32"/>
          <w:highlight w:val="none"/>
          <w:lang w:val="zh-CN" w:eastAsia="zh-CN"/>
        </w:rPr>
        <w:t>0.00万元，决算数0.00万元，预决算差异率0.00%，主要原因是：</w:t>
      </w:r>
      <w:r>
        <w:rPr>
          <w:rFonts w:hint="eastAsia" w:ascii="仿宋_GB2312" w:eastAsia="仿宋_GB2312"/>
          <w:color w:val="auto"/>
          <w:sz w:val="32"/>
          <w:szCs w:val="32"/>
          <w:highlight w:val="none"/>
          <w:lang w:val="en-US" w:eastAsia="zh-CN"/>
        </w:rPr>
        <w:t>我单位未安排因公出国（境）费，预决算无差异</w:t>
      </w:r>
      <w:r>
        <w:rPr>
          <w:rFonts w:hint="eastAsia" w:ascii="仿宋_GB2312" w:eastAsia="仿宋_GB2312"/>
          <w:color w:val="auto"/>
          <w:sz w:val="32"/>
          <w:szCs w:val="32"/>
          <w:highlight w:val="none"/>
          <w:lang w:val="zh-CN" w:eastAsia="zh-CN"/>
        </w:rPr>
        <w:t>；公务用车购置费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预算数0.00万元，决算数0.00万元，预决算差异率0.00%，主要原因是：我单位未安排公务用车购置费，预决算无差异；公务用车运行费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预算数10.27万元，决算数10.27万元，预决算差异率0.00%，主要原因是：公务用车运行费预算数和决算数无变化，预决算无差异；公务接待费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color w:val="auto"/>
          <w:sz w:val="32"/>
          <w:szCs w:val="32"/>
          <w:highlight w:val="none"/>
          <w:lang w:val="en-US" w:eastAsia="zh-CN"/>
        </w:rPr>
        <w:t>我单位未安排公务接待费，预决算无差异。</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7927"/>
      <w:bookmarkStart w:id="19" w:name="_Toc5810"/>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本年度无政府性基金预算财政拨款收入、支出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kern w:val="0"/>
          <w:sz w:val="32"/>
          <w:szCs w:val="32"/>
          <w:highlight w:val="none"/>
          <w:lang w:val="zh-CN" w:eastAsia="zh-CN"/>
        </w:rPr>
      </w:pPr>
      <w:r>
        <w:rPr>
          <w:rFonts w:hint="eastAsia" w:ascii="仿宋_GB2312" w:hAnsi="仿宋_GB2312" w:eastAsia="仿宋_GB2312" w:cs="仿宋_GB2312"/>
          <w:color w:val="auto"/>
          <w:kern w:val="0"/>
          <w:sz w:val="32"/>
          <w:szCs w:val="32"/>
          <w:highlight w:val="none"/>
          <w:lang w:val="zh-CN" w:eastAsia="zh-CN"/>
        </w:rPr>
        <w:t>我</w:t>
      </w:r>
      <w:r>
        <w:rPr>
          <w:rFonts w:hint="eastAsia" w:ascii="仿宋_GB2312" w:hAnsi="仿宋_GB2312" w:eastAsia="仿宋_GB2312" w:cs="仿宋_GB2312"/>
          <w:color w:val="auto"/>
          <w:kern w:val="0"/>
          <w:sz w:val="32"/>
          <w:szCs w:val="32"/>
          <w:highlight w:val="none"/>
          <w:lang w:val="en-US" w:eastAsia="zh-CN"/>
        </w:rPr>
        <w:t>单位</w:t>
      </w:r>
      <w:r>
        <w:rPr>
          <w:rFonts w:hint="eastAsia" w:ascii="仿宋_GB2312" w:hAnsi="仿宋_GB2312" w:eastAsia="仿宋_GB2312" w:cs="仿宋_GB2312"/>
          <w:color w:val="auto"/>
          <w:kern w:val="0"/>
          <w:sz w:val="32"/>
          <w:szCs w:val="32"/>
          <w:highlight w:val="none"/>
          <w:lang w:val="zh-CN" w:eastAsia="zh-CN"/>
        </w:rPr>
        <w:t>本年度无国有资本经营预算财政拨款收入、支出</w:t>
      </w:r>
      <w:r>
        <w:rPr>
          <w:rFonts w:hint="eastAsia" w:ascii="仿宋_GB2312" w:hAnsi="仿宋_GB2312" w:eastAsia="仿宋_GB2312" w:cs="仿宋_GB2312"/>
          <w:color w:val="auto"/>
          <w:kern w:val="0"/>
          <w:sz w:val="32"/>
          <w:szCs w:val="32"/>
          <w:highlight w:val="none"/>
          <w:lang w:val="en-US" w:eastAsia="zh-CN"/>
        </w:rPr>
        <w:t>及结转和结余</w:t>
      </w:r>
      <w:r>
        <w:rPr>
          <w:rFonts w:hint="eastAsia" w:ascii="仿宋_GB2312" w:hAnsi="仿宋_GB2312" w:eastAsia="仿宋_GB2312" w:cs="仿宋_GB2312"/>
          <w:color w:val="auto"/>
          <w:kern w:val="0"/>
          <w:sz w:val="32"/>
          <w:szCs w:val="32"/>
          <w:highlight w:val="none"/>
          <w:lang w:val="zh-CN" w:eastAsia="zh-CN"/>
        </w:rPr>
        <w:t>，国有资本经营预算财政拨款收入支出决算表为空表。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7314"/>
      <w:bookmarkStart w:id="21" w:name="_Toc12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rPr>
      </w:pPr>
      <w:bookmarkStart w:id="22" w:name="_Toc13105"/>
      <w:bookmarkStart w:id="23"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kern w:val="0"/>
          <w:sz w:val="32"/>
          <w:szCs w:val="32"/>
          <w:highlight w:val="none"/>
          <w:lang w:val="zh-CN" w:eastAsia="zh-CN"/>
        </w:rPr>
      </w:pPr>
      <w:bookmarkStart w:id="24" w:name="_Toc227"/>
      <w:bookmarkStart w:id="25" w:name="_Toc26704"/>
      <w:r>
        <w:rPr>
          <w:rFonts w:hint="eastAsia" w:ascii="仿宋_GB2312" w:hAnsi="仿宋_GB2312" w:eastAsia="仿宋_GB2312" w:cs="仿宋_GB2312"/>
          <w:color w:val="auto"/>
          <w:kern w:val="0"/>
          <w:sz w:val="32"/>
          <w:szCs w:val="32"/>
          <w:highlight w:val="none"/>
          <w:lang w:val="zh-CN" w:eastAsia="zh-CN"/>
        </w:rPr>
        <w:t>2023年度</w:t>
      </w:r>
      <w:r>
        <w:rPr>
          <w:rFonts w:hint="eastAsia" w:ascii="仿宋_GB2312" w:hAnsi="仿宋_GB2312" w:eastAsia="仿宋_GB2312" w:cs="仿宋_GB2312"/>
          <w:color w:val="auto"/>
          <w:kern w:val="0"/>
          <w:sz w:val="32"/>
          <w:szCs w:val="32"/>
          <w:highlight w:val="none"/>
          <w:lang w:val="en-US" w:eastAsia="zh-CN"/>
        </w:rPr>
        <w:t>裕民县司法局（行政单位）机关运行经费支出33.92万元，比上年增加2.51万元，增长7.99%,主要原因是：2023年度公用取暖费纳入预算，较上年有所增加。</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kern w:val="0"/>
          <w:sz w:val="32"/>
          <w:szCs w:val="32"/>
          <w:highlight w:val="none"/>
          <w:lang w:val="zh-CN" w:eastAsia="zh-CN"/>
        </w:rPr>
      </w:pPr>
      <w:r>
        <w:rPr>
          <w:rFonts w:hint="eastAsia" w:ascii="仿宋_GB2312" w:hAnsi="仿宋_GB2312" w:eastAsia="仿宋_GB2312" w:cs="仿宋_GB2312"/>
          <w:color w:val="auto"/>
          <w:kern w:val="0"/>
          <w:sz w:val="32"/>
          <w:szCs w:val="32"/>
          <w:highlight w:val="none"/>
          <w:lang w:val="zh-CN" w:eastAsia="zh-CN"/>
        </w:rPr>
        <w:t>2023年度政府采购支出总额35.06万元，其中：政府采购货物支出30.55万元、政府采购工程支出0.00万元、政府采购服务支出4.51万元。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zh-CN" w:eastAsia="zh-CN"/>
        </w:rPr>
        <w:t>授予中小企业合同金额35.06万元，占政府采购支出总额的100.00</w:t>
      </w:r>
      <w:r>
        <w:rPr>
          <w:rFonts w:hint="default" w:ascii="仿宋_GB2312" w:hAnsi="仿宋_GB2312" w:eastAsia="仿宋_GB2312" w:cs="仿宋_GB2312"/>
          <w:color w:val="auto"/>
          <w:kern w:val="0"/>
          <w:sz w:val="32"/>
          <w:szCs w:val="32"/>
          <w:highlight w:val="none"/>
          <w:lang w:val="zh-CN" w:eastAsia="zh-CN"/>
        </w:rPr>
        <w:t>%</w:t>
      </w:r>
      <w:r>
        <w:rPr>
          <w:rFonts w:hint="eastAsia" w:ascii="仿宋_GB2312" w:hAnsi="仿宋_GB2312" w:eastAsia="仿宋_GB2312" w:cs="仿宋_GB2312"/>
          <w:color w:val="auto"/>
          <w:kern w:val="0"/>
          <w:sz w:val="32"/>
          <w:szCs w:val="32"/>
          <w:highlight w:val="none"/>
          <w:lang w:val="zh-CN" w:eastAsia="zh-CN"/>
        </w:rPr>
        <w:t>，其中：授予小微企业合同金额35.06万元，占政府采购支出总额的100.00</w:t>
      </w:r>
      <w:r>
        <w:rPr>
          <w:rFonts w:hint="default" w:ascii="仿宋_GB2312" w:hAnsi="仿宋_GB2312" w:eastAsia="仿宋_GB2312" w:cs="仿宋_GB2312"/>
          <w:color w:val="auto"/>
          <w:kern w:val="0"/>
          <w:sz w:val="32"/>
          <w:szCs w:val="32"/>
          <w:highlight w:val="none"/>
          <w:lang w:val="zh-CN" w:eastAsia="zh-CN"/>
        </w:rPr>
        <w:t>%</w:t>
      </w:r>
      <w:r>
        <w:rPr>
          <w:rFonts w:hint="eastAsia" w:ascii="仿宋_GB2312" w:hAnsi="仿宋_GB2312" w:eastAsia="仿宋_GB2312" w:cs="仿宋_GB2312"/>
          <w:color w:val="auto"/>
          <w:kern w:val="0"/>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Times New Roman" w:hAnsi="Times New Roman" w:eastAsia="黑体" w:cs="Times New Roman"/>
          <w:color w:val="auto"/>
          <w:sz w:val="32"/>
          <w:szCs w:val="30"/>
          <w:highlight w:val="none"/>
          <w:lang w:val="zh-CN" w:eastAsia="zh-CN"/>
        </w:rPr>
      </w:pPr>
      <w:bookmarkStart w:id="26" w:name="_Toc8391"/>
      <w:bookmarkStart w:id="27" w:name="_Toc45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kern w:val="0"/>
          <w:sz w:val="32"/>
          <w:szCs w:val="32"/>
          <w:highlight w:val="none"/>
          <w:lang w:val="zh-CN" w:eastAsia="zh-CN"/>
        </w:rPr>
      </w:pPr>
      <w:r>
        <w:rPr>
          <w:rFonts w:hint="eastAsia" w:ascii="仿宋_GB2312" w:hAnsi="仿宋_GB2312" w:eastAsia="仿宋_GB2312" w:cs="仿宋_GB2312"/>
          <w:color w:val="auto"/>
          <w:kern w:val="0"/>
          <w:sz w:val="32"/>
          <w:szCs w:val="32"/>
          <w:highlight w:val="none"/>
          <w:lang w:val="en-US" w:eastAsia="zh-CN"/>
        </w:rPr>
        <w:t>截至2023</w:t>
      </w:r>
      <w:r>
        <w:rPr>
          <w:rFonts w:hint="eastAsia" w:ascii="仿宋_GB2312" w:hAnsi="仿宋_GB2312" w:eastAsia="仿宋_GB2312" w:cs="仿宋_GB2312"/>
          <w:color w:val="auto"/>
          <w:kern w:val="0"/>
          <w:sz w:val="32"/>
          <w:szCs w:val="32"/>
          <w:highlight w:val="none"/>
          <w:lang w:val="zh-CN" w:eastAsia="zh-CN"/>
        </w:rPr>
        <w:t>年</w:t>
      </w:r>
      <w:r>
        <w:rPr>
          <w:rFonts w:hint="eastAsia" w:ascii="仿宋_GB2312" w:hAnsi="仿宋_GB2312" w:eastAsia="仿宋_GB2312" w:cs="仿宋_GB2312"/>
          <w:color w:val="auto"/>
          <w:kern w:val="0"/>
          <w:sz w:val="32"/>
          <w:szCs w:val="32"/>
          <w:highlight w:val="none"/>
          <w:lang w:val="en-US" w:eastAsia="zh-CN"/>
        </w:rPr>
        <w:t>12月31日</w:t>
      </w:r>
      <w:r>
        <w:rPr>
          <w:rFonts w:hint="eastAsia" w:ascii="仿宋_GB2312" w:hAnsi="仿宋_GB2312" w:eastAsia="仿宋_GB2312" w:cs="仿宋_GB2312"/>
          <w:color w:val="auto"/>
          <w:kern w:val="0"/>
          <w:sz w:val="32"/>
          <w:szCs w:val="32"/>
          <w:highlight w:val="none"/>
          <w:lang w:val="zh-CN" w:eastAsia="zh-CN"/>
        </w:rPr>
        <w:t>，</w:t>
      </w:r>
      <w:r>
        <w:rPr>
          <w:rFonts w:hint="eastAsia" w:ascii="仿宋_GB2312" w:hAnsi="仿宋_GB2312" w:eastAsia="仿宋_GB2312" w:cs="仿宋_GB2312"/>
          <w:color w:val="auto"/>
          <w:kern w:val="0"/>
          <w:sz w:val="32"/>
          <w:szCs w:val="32"/>
          <w:highlight w:val="none"/>
          <w:lang w:val="en-US" w:eastAsia="zh-CN"/>
        </w:rPr>
        <w:t>固定资产原值</w:t>
      </w:r>
      <w:r>
        <w:rPr>
          <w:rFonts w:hint="eastAsia" w:ascii="仿宋_GB2312" w:hAnsi="仿宋_GB2312" w:eastAsia="仿宋_GB2312" w:cs="仿宋_GB2312"/>
          <w:color w:val="auto"/>
          <w:kern w:val="0"/>
          <w:sz w:val="32"/>
          <w:szCs w:val="32"/>
          <w:highlight w:val="none"/>
          <w:lang w:val="zh-CN" w:eastAsia="zh-CN"/>
        </w:rPr>
        <w:t>452.58</w:t>
      </w:r>
      <w:r>
        <w:rPr>
          <w:rFonts w:hint="eastAsia" w:ascii="仿宋_GB2312" w:hAnsi="仿宋_GB2312" w:eastAsia="仿宋_GB2312" w:cs="仿宋_GB2312"/>
          <w:color w:val="auto"/>
          <w:kern w:val="0"/>
          <w:sz w:val="32"/>
          <w:szCs w:val="32"/>
          <w:highlight w:val="none"/>
          <w:lang w:val="en-US" w:eastAsia="zh-CN"/>
        </w:rPr>
        <w:t>万元，房</w:t>
      </w:r>
      <w:r>
        <w:rPr>
          <w:rFonts w:hint="eastAsia" w:ascii="仿宋_GB2312" w:hAnsi="仿宋_GB2312" w:eastAsia="仿宋_GB2312" w:cs="仿宋_GB2312"/>
          <w:color w:val="auto"/>
          <w:kern w:val="0"/>
          <w:sz w:val="32"/>
          <w:szCs w:val="32"/>
          <w:highlight w:val="none"/>
          <w:lang w:val="zh-CN" w:eastAsia="zh-CN"/>
        </w:rPr>
        <w:t>屋0.0平方米，价值0.00万元。车辆8辆，价值76.26万元，其中：副部（省）级及以上领导用车0辆、主要</w:t>
      </w:r>
      <w:r>
        <w:rPr>
          <w:rFonts w:hint="eastAsia" w:ascii="仿宋_GB2312" w:hAnsi="仿宋_GB2312" w:eastAsia="仿宋_GB2312" w:cs="仿宋_GB2312"/>
          <w:color w:val="auto"/>
          <w:kern w:val="0"/>
          <w:sz w:val="32"/>
          <w:szCs w:val="32"/>
          <w:highlight w:val="none"/>
          <w:lang w:val="en-US" w:eastAsia="zh-CN"/>
        </w:rPr>
        <w:t>负责人</w:t>
      </w:r>
      <w:r>
        <w:rPr>
          <w:rFonts w:hint="eastAsia" w:ascii="仿宋_GB2312" w:hAnsi="仿宋_GB2312" w:eastAsia="仿宋_GB2312" w:cs="仿宋_GB2312"/>
          <w:color w:val="auto"/>
          <w:kern w:val="0"/>
          <w:sz w:val="32"/>
          <w:szCs w:val="32"/>
          <w:highlight w:val="none"/>
          <w:lang w:val="zh-CN" w:eastAsia="zh-CN"/>
        </w:rPr>
        <w:t>用车0辆、机要通信用车0辆、应急保障用车0辆、执法执勤用车0辆、特种专业技术用车0辆、离退休干部</w:t>
      </w:r>
      <w:r>
        <w:rPr>
          <w:rFonts w:hint="eastAsia" w:ascii="仿宋_GB2312" w:hAnsi="仿宋_GB2312" w:eastAsia="仿宋_GB2312" w:cs="仿宋_GB2312"/>
          <w:color w:val="auto"/>
          <w:kern w:val="0"/>
          <w:sz w:val="32"/>
          <w:szCs w:val="32"/>
          <w:highlight w:val="none"/>
          <w:lang w:val="en-US" w:eastAsia="zh-CN"/>
        </w:rPr>
        <w:t>服务</w:t>
      </w:r>
      <w:r>
        <w:rPr>
          <w:rFonts w:hint="eastAsia" w:ascii="仿宋_GB2312" w:hAnsi="仿宋_GB2312" w:eastAsia="仿宋_GB2312" w:cs="仿宋_GB2312"/>
          <w:color w:val="auto"/>
          <w:kern w:val="0"/>
          <w:sz w:val="32"/>
          <w:szCs w:val="32"/>
          <w:highlight w:val="none"/>
          <w:lang w:val="zh-CN" w:eastAsia="zh-CN"/>
        </w:rPr>
        <w:t>用车0辆、其他用车8辆，其他用车主要是：</w:t>
      </w:r>
      <w:r>
        <w:rPr>
          <w:rFonts w:hint="eastAsia" w:ascii="仿宋_GB2312" w:hAnsi="仿宋_GB2312" w:eastAsia="仿宋_GB2312" w:cs="仿宋_GB2312"/>
          <w:color w:val="auto"/>
          <w:kern w:val="0"/>
          <w:sz w:val="32"/>
          <w:szCs w:val="32"/>
          <w:highlight w:val="none"/>
          <w:lang w:val="en-US" w:eastAsia="zh-CN"/>
        </w:rPr>
        <w:t>6辆轿车在基层司法所用于</w:t>
      </w:r>
      <w:r>
        <w:rPr>
          <w:rFonts w:hint="eastAsia" w:ascii="仿宋_GB2312" w:hAnsi="仿宋_GB2312" w:eastAsia="仿宋_GB2312" w:cs="仿宋_GB2312"/>
          <w:color w:val="auto"/>
          <w:kern w:val="0"/>
          <w:sz w:val="32"/>
          <w:szCs w:val="32"/>
          <w:highlight w:val="none"/>
          <w:lang w:val="zh-CN" w:eastAsia="zh-CN"/>
        </w:rPr>
        <w:t>走访两类人员、</w:t>
      </w:r>
      <w:r>
        <w:rPr>
          <w:rFonts w:hint="eastAsia" w:ascii="仿宋_GB2312" w:hAnsi="仿宋_GB2312" w:eastAsia="仿宋_GB2312" w:cs="仿宋_GB2312"/>
          <w:color w:val="auto"/>
          <w:kern w:val="0"/>
          <w:sz w:val="32"/>
          <w:szCs w:val="32"/>
          <w:highlight w:val="none"/>
          <w:lang w:val="en-US" w:eastAsia="zh-CN"/>
        </w:rPr>
        <w:t>1辆中型客车用于</w:t>
      </w:r>
      <w:r>
        <w:rPr>
          <w:rFonts w:hint="eastAsia" w:ascii="仿宋_GB2312" w:hAnsi="仿宋_GB2312" w:eastAsia="仿宋_GB2312" w:cs="仿宋_GB2312"/>
          <w:color w:val="auto"/>
          <w:kern w:val="0"/>
          <w:sz w:val="32"/>
          <w:szCs w:val="32"/>
          <w:highlight w:val="none"/>
          <w:lang w:val="zh-CN" w:eastAsia="zh-CN"/>
        </w:rPr>
        <w:t>必接必送、</w:t>
      </w:r>
      <w:r>
        <w:rPr>
          <w:rFonts w:hint="eastAsia" w:ascii="仿宋_GB2312" w:hAnsi="仿宋_GB2312" w:eastAsia="仿宋_GB2312" w:cs="仿宋_GB2312"/>
          <w:color w:val="auto"/>
          <w:kern w:val="0"/>
          <w:sz w:val="32"/>
          <w:szCs w:val="32"/>
          <w:highlight w:val="none"/>
          <w:lang w:val="en-US" w:eastAsia="zh-CN"/>
        </w:rPr>
        <w:t>1辆专用警车用于接送刑满释放人员和</w:t>
      </w:r>
      <w:r>
        <w:rPr>
          <w:rFonts w:hint="eastAsia" w:ascii="仿宋_GB2312" w:hAnsi="仿宋_GB2312" w:eastAsia="仿宋_GB2312" w:cs="仿宋_GB2312"/>
          <w:color w:val="auto"/>
          <w:kern w:val="0"/>
          <w:sz w:val="32"/>
          <w:szCs w:val="32"/>
          <w:highlight w:val="none"/>
          <w:lang w:val="zh-CN" w:eastAsia="zh-CN"/>
        </w:rPr>
        <w:t>走访两类人员；单价100万元（含）以上设备（不含车辆）0</w:t>
      </w:r>
      <w:r>
        <w:rPr>
          <w:rFonts w:hint="eastAsia" w:ascii="仿宋_GB2312" w:hAnsi="仿宋_GB2312" w:eastAsia="仿宋_GB2312" w:cs="仿宋_GB2312"/>
          <w:color w:val="auto"/>
          <w:kern w:val="0"/>
          <w:sz w:val="32"/>
          <w:szCs w:val="32"/>
          <w:highlight w:val="none"/>
          <w:lang w:val="en-US" w:eastAsia="zh-CN"/>
        </w:rPr>
        <w:t>台</w:t>
      </w:r>
      <w:r>
        <w:rPr>
          <w:rFonts w:hint="eastAsia" w:ascii="仿宋_GB2312" w:hAnsi="仿宋_GB2312" w:eastAsia="仿宋_GB2312" w:cs="仿宋_GB2312"/>
          <w:color w:val="auto"/>
          <w:kern w:val="0"/>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8" w:name="_Toc11283"/>
      <w:bookmarkStart w:id="29" w:name="_Toc4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kern w:val="0"/>
          <w:sz w:val="32"/>
          <w:szCs w:val="32"/>
          <w:highlight w:val="none"/>
          <w:lang w:val="en-US" w:eastAsia="zh-CN"/>
        </w:rPr>
      </w:pPr>
      <w:bookmarkStart w:id="30" w:name="_Toc3250"/>
      <w:bookmarkStart w:id="31" w:name="_Toc24143"/>
      <w:r>
        <w:rPr>
          <w:rFonts w:hint="eastAsia" w:ascii="仿宋_GB2312" w:hAnsi="仿宋_GB2312" w:eastAsia="仿宋_GB2312" w:cs="仿宋_GB2312"/>
          <w:color w:val="auto"/>
          <w:kern w:val="0"/>
          <w:sz w:val="32"/>
          <w:szCs w:val="32"/>
          <w:highlight w:val="none"/>
          <w:lang w:val="zh-CN" w:eastAsia="zh-CN"/>
        </w:rPr>
        <w:t>根据预算绩效管理要求，我单位</w:t>
      </w:r>
      <w:r>
        <w:rPr>
          <w:rFonts w:hint="eastAsia" w:ascii="仿宋_GB2312" w:hAnsi="仿宋_GB2312" w:eastAsia="仿宋_GB2312" w:cs="仿宋_GB2312"/>
          <w:color w:val="auto"/>
          <w:kern w:val="0"/>
          <w:sz w:val="32"/>
          <w:szCs w:val="32"/>
          <w:highlight w:val="none"/>
          <w:lang w:val="en-US" w:eastAsia="zh-CN"/>
        </w:rPr>
        <w:t>2023</w:t>
      </w:r>
      <w:r>
        <w:rPr>
          <w:rFonts w:hint="eastAsia" w:ascii="仿宋_GB2312" w:hAnsi="仿宋_GB2312" w:eastAsia="仿宋_GB2312" w:cs="仿宋_GB2312"/>
          <w:color w:val="auto"/>
          <w:kern w:val="0"/>
          <w:sz w:val="32"/>
          <w:szCs w:val="32"/>
          <w:highlight w:val="none"/>
          <w:lang w:val="zh-CN" w:eastAsia="zh-CN"/>
        </w:rPr>
        <w:t>年度预算绩效管理整体支出绩效自评表</w:t>
      </w:r>
      <w:r>
        <w:rPr>
          <w:rFonts w:hint="eastAsia" w:ascii="仿宋_GB2312" w:hAnsi="仿宋_GB2312" w:eastAsia="仿宋_GB2312" w:cs="仿宋_GB2312"/>
          <w:color w:val="auto"/>
          <w:kern w:val="0"/>
          <w:sz w:val="32"/>
          <w:szCs w:val="32"/>
          <w:highlight w:val="none"/>
          <w:lang w:val="en-US" w:eastAsia="zh-CN"/>
        </w:rPr>
        <w:t>1个</w:t>
      </w:r>
      <w:r>
        <w:rPr>
          <w:rFonts w:hint="eastAsia" w:ascii="仿宋_GB2312" w:hAnsi="仿宋_GB2312" w:eastAsia="仿宋_GB2312" w:cs="仿宋_GB2312"/>
          <w:color w:val="auto"/>
          <w:kern w:val="0"/>
          <w:sz w:val="32"/>
          <w:szCs w:val="32"/>
          <w:highlight w:val="none"/>
          <w:lang w:val="zh-CN" w:eastAsia="zh-CN"/>
        </w:rPr>
        <w:t>，</w:t>
      </w:r>
      <w:r>
        <w:rPr>
          <w:rFonts w:hint="eastAsia" w:ascii="仿宋_GB2312" w:hAnsi="仿宋_GB2312" w:eastAsia="仿宋_GB2312" w:cs="仿宋_GB2312"/>
          <w:color w:val="auto"/>
          <w:kern w:val="0"/>
          <w:sz w:val="32"/>
          <w:szCs w:val="32"/>
          <w:highlight w:val="none"/>
          <w:lang w:val="en-US" w:eastAsia="zh-CN"/>
        </w:rPr>
        <w:t>全年预算总额583.61</w:t>
      </w:r>
      <w:r>
        <w:rPr>
          <w:rFonts w:hint="eastAsia" w:ascii="仿宋_GB2312" w:hAnsi="仿宋_GB2312" w:eastAsia="仿宋_GB2312" w:cs="仿宋_GB2312"/>
          <w:color w:val="auto"/>
          <w:kern w:val="0"/>
          <w:sz w:val="32"/>
          <w:szCs w:val="32"/>
          <w:highlight w:val="none"/>
          <w:lang w:val="zh-CN" w:eastAsia="zh-CN"/>
        </w:rPr>
        <w:t>万元，</w:t>
      </w:r>
      <w:r>
        <w:rPr>
          <w:rFonts w:hint="eastAsia" w:ascii="仿宋_GB2312" w:hAnsi="仿宋_GB2312" w:eastAsia="仿宋_GB2312" w:cs="仿宋_GB2312"/>
          <w:color w:val="auto"/>
          <w:kern w:val="0"/>
          <w:sz w:val="32"/>
          <w:szCs w:val="32"/>
          <w:highlight w:val="none"/>
          <w:lang w:val="en-US" w:eastAsia="zh-CN"/>
        </w:rPr>
        <w:t>实际执行总额583.61</w:t>
      </w:r>
      <w:r>
        <w:rPr>
          <w:rFonts w:hint="eastAsia" w:ascii="仿宋_GB2312" w:hAnsi="仿宋_GB2312" w:eastAsia="仿宋_GB2312" w:cs="仿宋_GB2312"/>
          <w:color w:val="auto"/>
          <w:kern w:val="0"/>
          <w:sz w:val="32"/>
          <w:szCs w:val="32"/>
          <w:highlight w:val="none"/>
          <w:lang w:val="zh-CN" w:eastAsia="zh-CN"/>
        </w:rPr>
        <w:t>万元</w:t>
      </w:r>
      <w:r>
        <w:rPr>
          <w:rFonts w:hint="eastAsia" w:ascii="仿宋_GB2312" w:hAnsi="仿宋_GB2312" w:eastAsia="仿宋_GB2312" w:cs="仿宋_GB2312"/>
          <w:color w:val="auto"/>
          <w:kern w:val="0"/>
          <w:sz w:val="32"/>
          <w:szCs w:val="32"/>
          <w:highlight w:val="none"/>
          <w:lang w:val="en-US" w:eastAsia="zh-CN"/>
        </w:rPr>
        <w:t>；</w:t>
      </w:r>
      <w:r>
        <w:rPr>
          <w:rFonts w:hint="eastAsia" w:ascii="仿宋_GB2312" w:hAnsi="仿宋_GB2312" w:eastAsia="仿宋_GB2312" w:cs="仿宋_GB2312"/>
          <w:color w:val="auto"/>
          <w:kern w:val="0"/>
          <w:sz w:val="32"/>
          <w:szCs w:val="32"/>
          <w:highlight w:val="none"/>
          <w:lang w:val="zh-CN" w:eastAsia="zh-CN"/>
        </w:rPr>
        <w:t>预算绩效评价项目</w:t>
      </w:r>
      <w:r>
        <w:rPr>
          <w:rFonts w:hint="eastAsia" w:ascii="仿宋_GB2312" w:hAnsi="仿宋_GB2312" w:eastAsia="仿宋_GB2312" w:cs="仿宋_GB2312"/>
          <w:color w:val="auto"/>
          <w:kern w:val="0"/>
          <w:sz w:val="32"/>
          <w:szCs w:val="32"/>
          <w:highlight w:val="none"/>
          <w:lang w:val="en-US" w:eastAsia="zh-CN"/>
        </w:rPr>
        <w:t>3</w:t>
      </w:r>
      <w:r>
        <w:rPr>
          <w:rFonts w:hint="eastAsia" w:ascii="仿宋_GB2312" w:hAnsi="仿宋_GB2312" w:eastAsia="仿宋_GB2312" w:cs="仿宋_GB2312"/>
          <w:color w:val="auto"/>
          <w:kern w:val="0"/>
          <w:sz w:val="32"/>
          <w:szCs w:val="32"/>
          <w:highlight w:val="none"/>
          <w:lang w:val="zh-CN" w:eastAsia="zh-CN"/>
        </w:rPr>
        <w:t>个，</w:t>
      </w:r>
      <w:r>
        <w:rPr>
          <w:rFonts w:hint="eastAsia" w:ascii="仿宋_GB2312" w:hAnsi="仿宋_GB2312" w:eastAsia="仿宋_GB2312" w:cs="仿宋_GB2312"/>
          <w:color w:val="auto"/>
          <w:kern w:val="0"/>
          <w:sz w:val="32"/>
          <w:szCs w:val="32"/>
          <w:highlight w:val="none"/>
          <w:lang w:val="en-US" w:eastAsia="zh-CN"/>
        </w:rPr>
        <w:t>全年预算数106.3</w:t>
      </w:r>
      <w:r>
        <w:rPr>
          <w:rFonts w:hint="eastAsia" w:ascii="仿宋_GB2312" w:hAnsi="仿宋_GB2312" w:eastAsia="仿宋_GB2312" w:cs="仿宋_GB2312"/>
          <w:color w:val="auto"/>
          <w:kern w:val="0"/>
          <w:sz w:val="32"/>
          <w:szCs w:val="32"/>
          <w:highlight w:val="none"/>
          <w:lang w:val="zh-CN" w:eastAsia="zh-CN"/>
        </w:rPr>
        <w:t>万元，</w:t>
      </w:r>
      <w:r>
        <w:rPr>
          <w:rFonts w:hint="eastAsia" w:ascii="仿宋_GB2312" w:hAnsi="仿宋_GB2312" w:eastAsia="仿宋_GB2312" w:cs="仿宋_GB2312"/>
          <w:color w:val="auto"/>
          <w:kern w:val="0"/>
          <w:sz w:val="32"/>
          <w:szCs w:val="32"/>
          <w:highlight w:val="none"/>
          <w:lang w:val="en-US" w:eastAsia="zh-CN"/>
        </w:rPr>
        <w:t>全年执行数106.3</w:t>
      </w:r>
      <w:r>
        <w:rPr>
          <w:rFonts w:hint="eastAsia" w:ascii="仿宋_GB2312" w:hAnsi="仿宋_GB2312" w:eastAsia="仿宋_GB2312" w:cs="仿宋_GB2312"/>
          <w:color w:val="auto"/>
          <w:kern w:val="0"/>
          <w:sz w:val="32"/>
          <w:szCs w:val="32"/>
          <w:highlight w:val="none"/>
          <w:lang w:val="zh-CN" w:eastAsia="zh-CN"/>
        </w:rPr>
        <w:t>万元。</w:t>
      </w:r>
      <w:r>
        <w:rPr>
          <w:rFonts w:hint="eastAsia" w:ascii="仿宋_GB2312" w:hAnsi="仿宋_GB2312" w:eastAsia="仿宋_GB2312" w:cs="仿宋_GB2312"/>
          <w:color w:val="auto"/>
          <w:kern w:val="0"/>
          <w:sz w:val="32"/>
          <w:szCs w:val="32"/>
          <w:highlight w:val="none"/>
          <w:lang w:val="en-US" w:eastAsia="zh-CN"/>
        </w:rPr>
        <w:t>其中sm项目2个，涉及资金103.30万元。</w:t>
      </w:r>
      <w:r>
        <w:rPr>
          <w:rFonts w:hint="eastAsia" w:ascii="仿宋_GB2312" w:hAnsi="仿宋_GB2312" w:eastAsia="仿宋_GB2312" w:cs="仿宋_GB2312"/>
          <w:color w:val="auto"/>
          <w:kern w:val="0"/>
          <w:sz w:val="32"/>
          <w:szCs w:val="32"/>
          <w:highlight w:val="none"/>
          <w:lang w:val="zh-CN" w:eastAsia="zh-CN"/>
        </w:rPr>
        <w:t>预算绩效管理取得的成效：</w:t>
      </w:r>
      <w:r>
        <w:rPr>
          <w:rFonts w:hint="eastAsia" w:ascii="仿宋_GB2312" w:hAnsi="仿宋_GB2312" w:eastAsia="仿宋_GB2312" w:cs="仿宋_GB2312"/>
          <w:color w:val="auto"/>
          <w:kern w:val="0"/>
          <w:sz w:val="32"/>
          <w:szCs w:val="32"/>
          <w:highlight w:val="none"/>
          <w:lang w:val="en-US" w:eastAsia="zh-CN"/>
        </w:rPr>
        <w:t>普法经费的绩效目标是按规定用途使用专项经费，严格落实国家机关“谁执法谁普法”工作责任制和《党政主要负责人履行推进法治建设第一责任人职责规定》。加强全民普法力度，加强社会主义法治文化建设。广泛运用新媒体开展法治宣传教育，培育壮大普法志愿者队伍，积极探索普法社会化运作。发现的问题及原因：一是部门预算控制工作需进一步提高；二是落实预算执行分析，及时了解预算执行差异，合理调整、纠正预算执行偏差，切实提高部门预算收支管理水平，严格做到决算与预算相一致。下一步改进措施：一是细化预算指标，提高预算科学性。预算编制前根据年度内单位可预见的工作任务，确定单位年度预算目标，细化预算指标，科学合理编制部门预算，推进预算编制科学化、准确化。根据实际情况，定期做好预算执行分析，掌握预算执行进度，及时找出预算实际执行情况与预算目标之间存在的差距，纠正偏差，为下一次科学、准确地编制部门预算积累经验；二是规范财务运行，加强预算支出管理。严格遵循“先有预算、后有支出”的原则，在资金支付管理方面，严格按照规定程序向财政部门申请用款，在财政部门批复的支出预算资金范围内申请使用一般预算支出经费。建立健全并认真执行各项资金使用管理制度，建立内部控制机制，资金使用严格履行审批程序，确保资金支出合法、真实。严格落实会计核算、报销审批制度，加强对资金使用环节的监督。具体项目自评情况附项目支出绩效自评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十</w:t>
      </w:r>
      <w:r>
        <w:rPr>
          <w:rFonts w:hint="eastAsia" w:ascii="黑体" w:hAnsi="黑体" w:eastAsia="黑体" w:cs="宋体"/>
          <w:bCs/>
          <w:kern w:val="0"/>
          <w:sz w:val="32"/>
          <w:szCs w:val="32"/>
          <w:highlight w:val="none"/>
          <w:lang w:val="en-US" w:eastAsia="zh-CN"/>
        </w:rPr>
        <w:t>二</w:t>
      </w:r>
      <w:r>
        <w:rPr>
          <w:rFonts w:hint="eastAsia" w:ascii="黑体" w:hAnsi="黑体" w:eastAsia="黑体" w:cs="宋体"/>
          <w:bCs/>
          <w:kern w:val="0"/>
          <w:sz w:val="32"/>
          <w:szCs w:val="32"/>
          <w:highlight w:val="none"/>
          <w:lang w:eastAsia="zh-CN"/>
        </w:rPr>
        <w:t>、其他需说明的事项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default" w:ascii="仿宋_GB2312" w:hAnsi="仿宋_GB2312" w:eastAsia="仿宋_GB2312" w:cs="仿宋_GB2312"/>
          <w:b/>
          <w:bCs/>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本年度安排sm项目2个涉及资金103.30万元，项目绩效自评表不予公开。</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2183"/>
      <w:bookmarkStart w:id="33" w:name="_Toc6062"/>
      <w:r>
        <w:rPr>
          <w:rFonts w:hint="eastAsia" w:ascii="黑体" w:hAnsi="黑体" w:eastAsia="仿宋_GB2312" w:cs="宋体"/>
          <w:bCs/>
          <w:color w:val="auto"/>
          <w:kern w:val="0"/>
          <w:sz w:val="32"/>
          <w:szCs w:val="32"/>
          <w:highlight w:val="none"/>
        </w:rPr>
        <w:t>一、《收入支出决算总表》</w:t>
      </w:r>
      <w:bookmarkEnd w:id="32"/>
      <w:bookmarkEnd w:id="3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30364"/>
      <w:bookmarkStart w:id="35" w:name="_Toc24532"/>
      <w:r>
        <w:rPr>
          <w:rFonts w:hint="eastAsia" w:ascii="黑体" w:hAnsi="黑体" w:eastAsia="仿宋_GB2312" w:cs="宋体"/>
          <w:bCs/>
          <w:color w:val="auto"/>
          <w:kern w:val="0"/>
          <w:sz w:val="32"/>
          <w:szCs w:val="32"/>
          <w:highlight w:val="none"/>
        </w:rPr>
        <w:t>二、《收入决算表》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32434"/>
      <w:bookmarkStart w:id="37" w:name="_Toc21304"/>
      <w:r>
        <w:rPr>
          <w:rFonts w:hint="eastAsia" w:ascii="黑体" w:hAnsi="黑体" w:eastAsia="仿宋_GB2312" w:cs="宋体"/>
          <w:bCs/>
          <w:color w:val="auto"/>
          <w:kern w:val="0"/>
          <w:sz w:val="32"/>
          <w:szCs w:val="32"/>
          <w:highlight w:val="none"/>
        </w:rPr>
        <w:t>三、《支出决算表》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28786"/>
      <w:bookmarkStart w:id="39" w:name="_Toc14238"/>
      <w:r>
        <w:rPr>
          <w:rFonts w:hint="eastAsia" w:ascii="黑体" w:hAnsi="黑体" w:eastAsia="仿宋_GB2312" w:cs="宋体"/>
          <w:bCs/>
          <w:color w:val="auto"/>
          <w:kern w:val="0"/>
          <w:sz w:val="32"/>
          <w:szCs w:val="32"/>
          <w:highlight w:val="none"/>
        </w:rPr>
        <w:t>四、《财政拨款收入支出决算总表》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0347"/>
      <w:bookmarkStart w:id="41" w:name="_Toc14869"/>
      <w:r>
        <w:rPr>
          <w:rFonts w:hint="eastAsia" w:ascii="黑体" w:hAnsi="黑体" w:eastAsia="仿宋_GB2312" w:cs="宋体"/>
          <w:bCs/>
          <w:color w:val="auto"/>
          <w:kern w:val="0"/>
          <w:sz w:val="32"/>
          <w:szCs w:val="32"/>
          <w:highlight w:val="none"/>
        </w:rPr>
        <w:t>五、《一般公共预算财政拨款支出决算表》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8884"/>
      <w:bookmarkStart w:id="43" w:name="_Toc5626"/>
      <w:r>
        <w:rPr>
          <w:rFonts w:hint="eastAsia" w:ascii="黑体" w:hAnsi="黑体" w:eastAsia="仿宋_GB2312" w:cs="宋体"/>
          <w:bCs/>
          <w:color w:val="auto"/>
          <w:kern w:val="0"/>
          <w:sz w:val="32"/>
          <w:szCs w:val="32"/>
          <w:highlight w:val="none"/>
        </w:rPr>
        <w:t>六、《一般公共预算财政拨款基本支出决算表》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29106"/>
      <w:bookmarkStart w:id="45" w:name="_Toc32663"/>
      <w:r>
        <w:rPr>
          <w:rFonts w:hint="eastAsia" w:ascii="黑体" w:hAnsi="黑体" w:eastAsia="仿宋_GB2312" w:cs="宋体"/>
          <w:bCs/>
          <w:color w:val="auto"/>
          <w:kern w:val="0"/>
          <w:sz w:val="32"/>
          <w:szCs w:val="32"/>
          <w:highlight w:val="none"/>
        </w:rPr>
        <w:t>《财政拨款“三公”经费支出决算表》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7643"/>
      <w:bookmarkStart w:id="47" w:name="_Toc545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M6pebnPAAAABQEAAA8AAAAAAAAAAQAgAAAAIgAAAGRycy9kb3ducmV2LnhtbFBLAQIU&#10;ABQAAAAIAIdO4kAgtDAhwwEAAHADAAAOAAAAAAAAAAEAIAAAAB4BAABkcnMvZTJvRG9jLnhtbFBL&#10;BQYAAAAABgAGAFkBAABTBQ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lmNjA3ZGUwYTEzOGFiNzg2MzI2ZjE3MDVlMzg5MDEifQ=="/>
    <w:docVar w:name="KSO_WPS_MARK_KEY" w:val="41ee2a61-2d54-4f93-83be-afdb9a40d732"/>
  </w:docVars>
  <w:rsids>
    <w:rsidRoot w:val="00000000"/>
    <w:rsid w:val="00213C59"/>
    <w:rsid w:val="003210CE"/>
    <w:rsid w:val="00B70D59"/>
    <w:rsid w:val="00F52A8D"/>
    <w:rsid w:val="019404F8"/>
    <w:rsid w:val="02BD3108"/>
    <w:rsid w:val="02F73D26"/>
    <w:rsid w:val="034D4FEF"/>
    <w:rsid w:val="035D1785"/>
    <w:rsid w:val="039F47CE"/>
    <w:rsid w:val="03E05CE8"/>
    <w:rsid w:val="03F973EE"/>
    <w:rsid w:val="041C1E4E"/>
    <w:rsid w:val="043E5B56"/>
    <w:rsid w:val="04C04386"/>
    <w:rsid w:val="04FA68C4"/>
    <w:rsid w:val="053F5AE6"/>
    <w:rsid w:val="057C0B0F"/>
    <w:rsid w:val="05EF4B48"/>
    <w:rsid w:val="05F76ECA"/>
    <w:rsid w:val="06792773"/>
    <w:rsid w:val="07093795"/>
    <w:rsid w:val="07804730"/>
    <w:rsid w:val="07897865"/>
    <w:rsid w:val="079052BE"/>
    <w:rsid w:val="08145C21"/>
    <w:rsid w:val="08422688"/>
    <w:rsid w:val="085854ED"/>
    <w:rsid w:val="0879188F"/>
    <w:rsid w:val="08A0354D"/>
    <w:rsid w:val="08CD4C49"/>
    <w:rsid w:val="09114954"/>
    <w:rsid w:val="092F36C1"/>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3865729"/>
    <w:rsid w:val="13955134"/>
    <w:rsid w:val="13E511D4"/>
    <w:rsid w:val="14207DC0"/>
    <w:rsid w:val="14B932DA"/>
    <w:rsid w:val="150A66AF"/>
    <w:rsid w:val="154C1139"/>
    <w:rsid w:val="158C5B77"/>
    <w:rsid w:val="160D1149"/>
    <w:rsid w:val="163563C0"/>
    <w:rsid w:val="164315EF"/>
    <w:rsid w:val="16557DFE"/>
    <w:rsid w:val="167268FB"/>
    <w:rsid w:val="16D50C50"/>
    <w:rsid w:val="16E120E1"/>
    <w:rsid w:val="16EB0762"/>
    <w:rsid w:val="17385A05"/>
    <w:rsid w:val="173B3901"/>
    <w:rsid w:val="176747F9"/>
    <w:rsid w:val="17954A6E"/>
    <w:rsid w:val="17B0507D"/>
    <w:rsid w:val="180059E9"/>
    <w:rsid w:val="184510FD"/>
    <w:rsid w:val="190648B0"/>
    <w:rsid w:val="19071D6C"/>
    <w:rsid w:val="19A250E3"/>
    <w:rsid w:val="19A61749"/>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6503CB"/>
    <w:rsid w:val="1E97358B"/>
    <w:rsid w:val="1EAA4A5F"/>
    <w:rsid w:val="1EE869A7"/>
    <w:rsid w:val="1FA15E62"/>
    <w:rsid w:val="1FED69B6"/>
    <w:rsid w:val="2064678E"/>
    <w:rsid w:val="20DC1AB9"/>
    <w:rsid w:val="20DD6197"/>
    <w:rsid w:val="212631E0"/>
    <w:rsid w:val="21A53757"/>
    <w:rsid w:val="221236C6"/>
    <w:rsid w:val="22D7662C"/>
    <w:rsid w:val="23326B7F"/>
    <w:rsid w:val="23547DF0"/>
    <w:rsid w:val="2380045B"/>
    <w:rsid w:val="23BC04D2"/>
    <w:rsid w:val="23EF1892"/>
    <w:rsid w:val="2483647E"/>
    <w:rsid w:val="24A32D55"/>
    <w:rsid w:val="25292727"/>
    <w:rsid w:val="252E5CA9"/>
    <w:rsid w:val="256F7692"/>
    <w:rsid w:val="25BA2154"/>
    <w:rsid w:val="25C8773F"/>
    <w:rsid w:val="264A7253"/>
    <w:rsid w:val="26F0170C"/>
    <w:rsid w:val="27201D62"/>
    <w:rsid w:val="27286E73"/>
    <w:rsid w:val="27CF2642"/>
    <w:rsid w:val="27E777F5"/>
    <w:rsid w:val="27EA1D4C"/>
    <w:rsid w:val="27EA2E41"/>
    <w:rsid w:val="282459E2"/>
    <w:rsid w:val="283A7FE5"/>
    <w:rsid w:val="285F51FF"/>
    <w:rsid w:val="28DF2665"/>
    <w:rsid w:val="29072599"/>
    <w:rsid w:val="291029F3"/>
    <w:rsid w:val="29CB58F0"/>
    <w:rsid w:val="2A053397"/>
    <w:rsid w:val="2A145E96"/>
    <w:rsid w:val="2AEC1810"/>
    <w:rsid w:val="2AF5378F"/>
    <w:rsid w:val="2BB94DBF"/>
    <w:rsid w:val="2C6F314E"/>
    <w:rsid w:val="2CC206BE"/>
    <w:rsid w:val="2D1136DF"/>
    <w:rsid w:val="2D20606D"/>
    <w:rsid w:val="2DB87198"/>
    <w:rsid w:val="2DB93C54"/>
    <w:rsid w:val="2E3D144C"/>
    <w:rsid w:val="2E6E09D0"/>
    <w:rsid w:val="2E891204"/>
    <w:rsid w:val="2E92299C"/>
    <w:rsid w:val="2F3F0A28"/>
    <w:rsid w:val="2FBF7029"/>
    <w:rsid w:val="2FD0187F"/>
    <w:rsid w:val="2FD27414"/>
    <w:rsid w:val="2FFE4BB0"/>
    <w:rsid w:val="300E7B60"/>
    <w:rsid w:val="300F6E18"/>
    <w:rsid w:val="30862F5F"/>
    <w:rsid w:val="314029C9"/>
    <w:rsid w:val="31C63837"/>
    <w:rsid w:val="31C82E39"/>
    <w:rsid w:val="32601BAD"/>
    <w:rsid w:val="329F6389"/>
    <w:rsid w:val="3389023A"/>
    <w:rsid w:val="33CB74FA"/>
    <w:rsid w:val="343642F2"/>
    <w:rsid w:val="343F3010"/>
    <w:rsid w:val="345D0A00"/>
    <w:rsid w:val="34713BFD"/>
    <w:rsid w:val="34C13589"/>
    <w:rsid w:val="353369E3"/>
    <w:rsid w:val="3569601D"/>
    <w:rsid w:val="35E00D72"/>
    <w:rsid w:val="36965B9D"/>
    <w:rsid w:val="36C549FD"/>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6716E3"/>
    <w:rsid w:val="3B6C6B2D"/>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7D60EA"/>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34E6957"/>
    <w:rsid w:val="43BA0E31"/>
    <w:rsid w:val="43C15147"/>
    <w:rsid w:val="43E14DD2"/>
    <w:rsid w:val="43F800E9"/>
    <w:rsid w:val="443A7E4B"/>
    <w:rsid w:val="450E5E28"/>
    <w:rsid w:val="452F5B3A"/>
    <w:rsid w:val="454E7FD2"/>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93D58B5"/>
    <w:rsid w:val="494A7A04"/>
    <w:rsid w:val="4A0A26D2"/>
    <w:rsid w:val="4A2019A5"/>
    <w:rsid w:val="4A241A0B"/>
    <w:rsid w:val="4A7B2875"/>
    <w:rsid w:val="4A934476"/>
    <w:rsid w:val="4AAA220A"/>
    <w:rsid w:val="4AE12E67"/>
    <w:rsid w:val="4B4C0111"/>
    <w:rsid w:val="4B8553A9"/>
    <w:rsid w:val="4BC744CF"/>
    <w:rsid w:val="4BDB3730"/>
    <w:rsid w:val="4C200F7A"/>
    <w:rsid w:val="4CEE3180"/>
    <w:rsid w:val="4D0F4AF6"/>
    <w:rsid w:val="4DF94F37"/>
    <w:rsid w:val="4E0A1DD5"/>
    <w:rsid w:val="4E3160E5"/>
    <w:rsid w:val="4E4D37AF"/>
    <w:rsid w:val="4E8C6496"/>
    <w:rsid w:val="4EFD18DE"/>
    <w:rsid w:val="4F144236"/>
    <w:rsid w:val="4F663C87"/>
    <w:rsid w:val="4F7E29A8"/>
    <w:rsid w:val="4F9E1FFC"/>
    <w:rsid w:val="4FE80B6A"/>
    <w:rsid w:val="50447CC2"/>
    <w:rsid w:val="50874A7C"/>
    <w:rsid w:val="50895EE7"/>
    <w:rsid w:val="50921B9D"/>
    <w:rsid w:val="50D16158"/>
    <w:rsid w:val="50DB5F45"/>
    <w:rsid w:val="51025EB1"/>
    <w:rsid w:val="51141503"/>
    <w:rsid w:val="518D0ED5"/>
    <w:rsid w:val="525C687F"/>
    <w:rsid w:val="52F647F7"/>
    <w:rsid w:val="52F92565"/>
    <w:rsid w:val="53D03877"/>
    <w:rsid w:val="542F73CA"/>
    <w:rsid w:val="5430786D"/>
    <w:rsid w:val="54C811C0"/>
    <w:rsid w:val="54DE00B6"/>
    <w:rsid w:val="556A442D"/>
    <w:rsid w:val="55DA564E"/>
    <w:rsid w:val="5604127D"/>
    <w:rsid w:val="56166703"/>
    <w:rsid w:val="56510474"/>
    <w:rsid w:val="56861525"/>
    <w:rsid w:val="56A93273"/>
    <w:rsid w:val="56BD550C"/>
    <w:rsid w:val="56E07045"/>
    <w:rsid w:val="56FF28AF"/>
    <w:rsid w:val="57540E7D"/>
    <w:rsid w:val="577B4878"/>
    <w:rsid w:val="5783454A"/>
    <w:rsid w:val="57926973"/>
    <w:rsid w:val="57D83B18"/>
    <w:rsid w:val="57F05EFD"/>
    <w:rsid w:val="58175352"/>
    <w:rsid w:val="581F2200"/>
    <w:rsid w:val="583059FA"/>
    <w:rsid w:val="584A0929"/>
    <w:rsid w:val="58CD2491"/>
    <w:rsid w:val="591B41B2"/>
    <w:rsid w:val="59254A26"/>
    <w:rsid w:val="59326325"/>
    <w:rsid w:val="595C505B"/>
    <w:rsid w:val="595E55C3"/>
    <w:rsid w:val="596E7E20"/>
    <w:rsid w:val="5A60780B"/>
    <w:rsid w:val="5AB34579"/>
    <w:rsid w:val="5AFC6609"/>
    <w:rsid w:val="5B113480"/>
    <w:rsid w:val="5BD456CE"/>
    <w:rsid w:val="5C0D1F49"/>
    <w:rsid w:val="5C2C0181"/>
    <w:rsid w:val="5CBB0CE2"/>
    <w:rsid w:val="5CC17177"/>
    <w:rsid w:val="5CF306BC"/>
    <w:rsid w:val="5D3F3D64"/>
    <w:rsid w:val="5D833043"/>
    <w:rsid w:val="5DD92690"/>
    <w:rsid w:val="5DDB1CFD"/>
    <w:rsid w:val="5E7E6D93"/>
    <w:rsid w:val="5E83600F"/>
    <w:rsid w:val="5ED44800"/>
    <w:rsid w:val="5F350BDE"/>
    <w:rsid w:val="5F61632C"/>
    <w:rsid w:val="5FA17648"/>
    <w:rsid w:val="5FE705CB"/>
    <w:rsid w:val="603D5080"/>
    <w:rsid w:val="60D0261B"/>
    <w:rsid w:val="618E3791"/>
    <w:rsid w:val="61947DCA"/>
    <w:rsid w:val="61A46A97"/>
    <w:rsid w:val="61B86D5B"/>
    <w:rsid w:val="61D1382F"/>
    <w:rsid w:val="61F114A2"/>
    <w:rsid w:val="62512BB4"/>
    <w:rsid w:val="625D7D1A"/>
    <w:rsid w:val="62DD7D21"/>
    <w:rsid w:val="637D586B"/>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4A6F37"/>
    <w:rsid w:val="67521A59"/>
    <w:rsid w:val="67C304AB"/>
    <w:rsid w:val="683F0658"/>
    <w:rsid w:val="689C6793"/>
    <w:rsid w:val="68DB0208"/>
    <w:rsid w:val="68FB170C"/>
    <w:rsid w:val="691B3D98"/>
    <w:rsid w:val="693748F0"/>
    <w:rsid w:val="69846A0E"/>
    <w:rsid w:val="69AD798C"/>
    <w:rsid w:val="69D005C0"/>
    <w:rsid w:val="69D80B96"/>
    <w:rsid w:val="6B68175F"/>
    <w:rsid w:val="6BFD799F"/>
    <w:rsid w:val="6C0E57A2"/>
    <w:rsid w:val="6C4A2E5A"/>
    <w:rsid w:val="6C8138D0"/>
    <w:rsid w:val="6CEF0725"/>
    <w:rsid w:val="6D4B2604"/>
    <w:rsid w:val="6D8030E4"/>
    <w:rsid w:val="6E0E35C4"/>
    <w:rsid w:val="6E0F7A08"/>
    <w:rsid w:val="6E3947F5"/>
    <w:rsid w:val="6E9C74ED"/>
    <w:rsid w:val="6EE667D7"/>
    <w:rsid w:val="6EF72976"/>
    <w:rsid w:val="6F795A80"/>
    <w:rsid w:val="6F7C1D2E"/>
    <w:rsid w:val="6F8E0407"/>
    <w:rsid w:val="6FDD069F"/>
    <w:rsid w:val="702B4D16"/>
    <w:rsid w:val="70AA6621"/>
    <w:rsid w:val="7111480F"/>
    <w:rsid w:val="71261F49"/>
    <w:rsid w:val="712E6956"/>
    <w:rsid w:val="71473612"/>
    <w:rsid w:val="71504F32"/>
    <w:rsid w:val="7152309F"/>
    <w:rsid w:val="718F7F65"/>
    <w:rsid w:val="727B234E"/>
    <w:rsid w:val="72D068C7"/>
    <w:rsid w:val="72E42ED8"/>
    <w:rsid w:val="735F4CB9"/>
    <w:rsid w:val="73674C62"/>
    <w:rsid w:val="73845865"/>
    <w:rsid w:val="739B6D9E"/>
    <w:rsid w:val="73BC1D76"/>
    <w:rsid w:val="73FB6630"/>
    <w:rsid w:val="740436FA"/>
    <w:rsid w:val="748D790E"/>
    <w:rsid w:val="749820CC"/>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A6242BF"/>
    <w:rsid w:val="7A794513"/>
    <w:rsid w:val="7AE952D2"/>
    <w:rsid w:val="7C976D69"/>
    <w:rsid w:val="7CD752DA"/>
    <w:rsid w:val="7CDE40AB"/>
    <w:rsid w:val="7CF057E2"/>
    <w:rsid w:val="7D1548B5"/>
    <w:rsid w:val="7DF84014"/>
    <w:rsid w:val="7E207949"/>
    <w:rsid w:val="7E5C0A47"/>
    <w:rsid w:val="7E670C75"/>
    <w:rsid w:val="7EE24272"/>
    <w:rsid w:val="7EEA6053"/>
    <w:rsid w:val="7F487C04"/>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Strong"/>
    <w:basedOn w:val="10"/>
    <w:qFormat/>
    <w:uiPriority w:val="0"/>
    <w:rPr>
      <w:b/>
    </w:rPr>
  </w:style>
  <w:style w:type="paragraph" w:customStyle="1" w:styleId="12">
    <w:name w:val="WPSOffice手动目录 3"/>
    <w:qFormat/>
    <w:uiPriority w:val="0"/>
    <w:pPr>
      <w:ind w:leftChars="400"/>
    </w:pPr>
    <w:rPr>
      <w:rFonts w:ascii="Times New Roman" w:hAnsi="Times New Roman" w:eastAsia="宋体" w:cs="Times New Roman"/>
      <w:sz w:val="20"/>
      <w:szCs w:val="20"/>
    </w:rPr>
  </w:style>
  <w:style w:type="paragraph" w:customStyle="1" w:styleId="13">
    <w:name w:val="WPSOffice手动目录 2"/>
    <w:qFormat/>
    <w:uiPriority w:val="0"/>
    <w:pPr>
      <w:ind w:leftChars="200"/>
    </w:pPr>
    <w:rPr>
      <w:rFonts w:ascii="Times New Roman" w:hAnsi="Times New Roman" w:eastAsia="宋体" w:cs="Times New Roman"/>
      <w:sz w:val="20"/>
      <w:szCs w:val="20"/>
    </w:rPr>
  </w:style>
  <w:style w:type="paragraph" w:customStyle="1" w:styleId="14">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6585</Words>
  <Characters>7277</Characters>
  <Lines>0</Lines>
  <Paragraphs>0</Paragraphs>
  <TotalTime>0</TotalTime>
  <ScaleCrop>false</ScaleCrop>
  <LinksUpToDate>false</LinksUpToDate>
  <CharactersWithSpaces>7328</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lenovo</cp:lastModifiedBy>
  <dcterms:modified xsi:type="dcterms:W3CDTF">2025-04-08T02:45:21Z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68DE9E7D607549F2B44F1B5DD817C80C_13</vt:lpwstr>
  </property>
</Properties>
</file>