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color w:val="auto"/>
          <w:sz w:val="32"/>
          <w:szCs w:val="32"/>
          <w:highlight w:val="none"/>
          <w:lang w:val="en-US" w:eastAsia="zh-CN"/>
        </w:rPr>
      </w:pPr>
      <w:r>
        <w:rPr>
          <w:rFonts w:hint="eastAsia" w:ascii="黑体" w:hAnsi="黑体" w:eastAsia="黑体"/>
          <w:color w:val="auto"/>
          <w:sz w:val="32"/>
          <w:szCs w:val="32"/>
          <w:highlight w:val="none"/>
          <w:lang w:val="en-US" w:eastAsia="zh-CN"/>
        </w:rPr>
        <w:t xml:space="preserve"> </w:t>
      </w: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方正小标宋_GBK" w:hAnsi="宋体" w:eastAsia="方正小标宋_GBK"/>
          <w:color w:val="auto"/>
          <w:sz w:val="44"/>
          <w:szCs w:val="44"/>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方正小标宋_GBK" w:hAnsi="宋体" w:eastAsia="方正小标宋_GBK"/>
          <w:color w:val="auto"/>
          <w:sz w:val="44"/>
          <w:szCs w:val="44"/>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裕民县阿勒腾也木勒乡卫生院</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autoSpaceDE/>
        <w:autoSpaceDN/>
        <w:bidi w:val="0"/>
        <w:adjustRightInd/>
        <w:snapToGrid/>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autoSpaceDE/>
        <w:autoSpaceDN/>
        <w:bidi w:val="0"/>
        <w:adjustRightInd/>
        <w:snapToGrid/>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bookmarkEnd w:id="0"/>
      <w:bookmarkEnd w:id="1"/>
      <w:r>
        <w:rPr>
          <w:rFonts w:hint="eastAsia" w:ascii="黑体" w:hAnsi="黑体" w:eastAsia="黑体"/>
          <w:sz w:val="32"/>
          <w:szCs w:val="32"/>
          <w:highlight w:val="none"/>
        </w:rPr>
        <w:t>部门概况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一</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宣传贯彻党和政府的各项医疗卫生方针政策，协助政府实施农村医改工作，提供基本医疗服务，开展农村常见病、多发病以及诊断明确的慢性非传染性疾病的诊疗、护理。贯彻落实国家基本药物制度，乡镇卫生院全部配备、使用基本药物;实行网上统一采购、统一配送的基本药物采购机制;实施基本药物零差率销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二</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协助开展突发公共卫生事件应急调查和处置工作，对所属行政村卫生室实行一体化管理，承担对村卫生室和乡村医生的业务管理和指导。协助做好城乡居民医疗保险工作。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裕民县阿勒腾也木勒乡卫生院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35</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22</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13</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bookmarkStart w:id="6" w:name="_Toc3092"/>
      <w:bookmarkStart w:id="7" w:name="_Toc29374"/>
      <w:r>
        <w:rPr>
          <w:rFonts w:hint="eastAsia" w:ascii="仿宋_GB2312" w:eastAsia="仿宋_GB2312"/>
          <w:sz w:val="32"/>
          <w:szCs w:val="32"/>
          <w:highlight w:val="none"/>
          <w:lang w:eastAsia="zh-CN"/>
        </w:rPr>
        <w:t>单位无下属预算单位，下设11个处室，分别是：药房、中医馆、化验室、B超室、心电图室、防疫室、妇幼室、医生办公室、慢病科、注射室、财务室。</w:t>
      </w:r>
    </w:p>
    <w:p>
      <w:pPr>
        <w:pStyle w:val="2"/>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448.12万元，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437.08万元，使用非财政拨款结余0.00万元，年初结转和结余11.04万元。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448.12万元，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436.50万元，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0.00万元，年末结转和结余11.62万元。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增加22.15万元</w:t>
      </w:r>
      <w:r>
        <w:rPr>
          <w:rFonts w:hint="eastAsia" w:ascii="仿宋_GB2312" w:eastAsia="仿宋_GB2312"/>
          <w:color w:val="auto"/>
          <w:spacing w:val="0"/>
          <w:sz w:val="32"/>
          <w:szCs w:val="32"/>
          <w:highlight w:val="none"/>
          <w:lang w:eastAsia="zh-CN"/>
        </w:rPr>
        <w:t>，增长5.20%，主要原因是：职工增资、</w:t>
      </w:r>
      <w:r>
        <w:rPr>
          <w:rFonts w:hint="eastAsia" w:ascii="仿宋_GB2312" w:eastAsia="仿宋_GB2312"/>
          <w:sz w:val="32"/>
          <w:szCs w:val="32"/>
          <w:highlight w:val="none"/>
        </w:rPr>
        <w:t>基本公共卫生补助、基本药物补助等项目年中追加。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437.08</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407.11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93.14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29.71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6.80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0.26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Times New Roman" w:hAnsi="Times New Roman" w:eastAsia="仿宋_GB2312" w:cs="仿宋_GB2312"/>
          <w:b/>
          <w:bCs/>
          <w:color w:val="auto"/>
          <w:sz w:val="32"/>
          <w:szCs w:val="32"/>
          <w:highlight w:val="none"/>
          <w:lang w:val="zh-CN" w:eastAsia="zh-CN"/>
        </w:rPr>
        <w:t>本年支出</w:t>
      </w:r>
      <w:r>
        <w:rPr>
          <w:rFonts w:hint="eastAsia" w:ascii="仿宋_GB2312" w:hAnsi="仿宋_GB2312" w:eastAsia="仿宋_GB2312" w:cs="仿宋_GB2312"/>
          <w:b/>
          <w:bCs/>
          <w:color w:val="auto"/>
          <w:sz w:val="32"/>
          <w:szCs w:val="32"/>
          <w:highlight w:val="none"/>
          <w:lang w:val="zh-CN" w:eastAsia="zh-CN"/>
        </w:rPr>
        <w:t>436.50</w:t>
      </w:r>
      <w:r>
        <w:rPr>
          <w:rFonts w:hint="eastAsia" w:ascii="Times New Roman" w:hAnsi="Times New Roman" w:eastAsia="仿宋_GB2312" w:cs="仿宋_GB2312"/>
          <w:b/>
          <w:bCs/>
          <w:color w:val="auto"/>
          <w:sz w:val="32"/>
          <w:szCs w:val="32"/>
          <w:highlight w:val="none"/>
          <w:lang w:val="zh-CN" w:eastAsia="zh-CN"/>
        </w:rPr>
        <w:t>万元，</w:t>
      </w:r>
      <w:r>
        <w:rPr>
          <w:rFonts w:hint="eastAsia" w:ascii="仿宋_GB2312" w:hAnsi="仿宋_GB2312" w:eastAsia="仿宋_GB2312" w:cs="仿宋_GB2312"/>
          <w:color w:val="auto"/>
          <w:sz w:val="32"/>
          <w:szCs w:val="32"/>
          <w:highlight w:val="none"/>
          <w:lang w:val="zh-CN" w:eastAsia="zh-CN"/>
        </w:rPr>
        <w:t>其中：基本支出358.32万元，占82.09%；项目支出78.18万元，占17.91%；上缴上级支出0.00万元，占</w:t>
      </w:r>
      <w:r>
        <w:rPr>
          <w:rFonts w:hint="eastAsia" w:ascii="仿宋_GB2312" w:hAnsi="仿宋_GB2312" w:eastAsia="仿宋_GB2312" w:cs="仿宋_GB2312"/>
          <w:b w:val="0"/>
          <w:bCs w:val="0"/>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zh-CN" w:eastAsia="zh-CN"/>
        </w:rPr>
        <w:t>%；经营支出0.00万元，占0.00%；对附属单位补助支出0.00万元，占0.00%。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407.11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407.11</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407.11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407.11</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增加11.71万元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增长2.96%,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基本公共卫生补助、基本药物补助等项目年中追加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355.49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407.11</w:t>
      </w:r>
      <w:r>
        <w:rPr>
          <w:rFonts w:hint="eastAsia" w:ascii="仿宋_GB2312" w:eastAsia="仿宋_GB2312"/>
          <w:color w:val="auto"/>
          <w:spacing w:val="0"/>
          <w:sz w:val="32"/>
          <w:szCs w:val="32"/>
          <w:highlight w:val="none"/>
          <w:lang w:eastAsia="zh-CN"/>
        </w:rPr>
        <w:t>万元，预决算差异率14.52%，主要原因是：</w:t>
      </w:r>
      <w:r>
        <w:rPr>
          <w:rFonts w:hint="eastAsia" w:ascii="仿宋_GB2312" w:eastAsia="仿宋_GB2312"/>
          <w:sz w:val="32"/>
          <w:szCs w:val="32"/>
          <w:highlight w:val="none"/>
        </w:rPr>
        <w:t>基本公共卫生补助、基本药物补助等项目年中追加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2023年度一般公共预算财政拨款支出407.11万元，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93.27%</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增加11.71万元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增长2.96%,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单位职工</w:t>
      </w:r>
      <w:r>
        <w:rPr>
          <w:rFonts w:hint="eastAsia" w:ascii="仿宋_GB2312" w:eastAsia="仿宋_GB2312"/>
          <w:sz w:val="32"/>
          <w:szCs w:val="32"/>
          <w:highlight w:val="none"/>
          <w:lang w:eastAsia="zh-CN"/>
        </w:rPr>
        <w:t>增资</w:t>
      </w:r>
      <w:r>
        <w:rPr>
          <w:rFonts w:hint="eastAsia" w:ascii="仿宋_GB2312" w:eastAsia="仿宋_GB2312"/>
          <w:sz w:val="32"/>
          <w:szCs w:val="32"/>
          <w:highlight w:val="none"/>
        </w:rPr>
        <w:t>、全民健康体检经费等项目年中追加。</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355.49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407.11</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14.52%</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单位职工</w:t>
      </w:r>
      <w:r>
        <w:rPr>
          <w:rFonts w:hint="eastAsia" w:ascii="仿宋_GB2312" w:eastAsia="仿宋_GB2312"/>
          <w:sz w:val="32"/>
          <w:szCs w:val="32"/>
          <w:highlight w:val="none"/>
          <w:lang w:eastAsia="zh-CN"/>
        </w:rPr>
        <w:t>增资</w:t>
      </w:r>
      <w:r>
        <w:rPr>
          <w:rFonts w:hint="eastAsia" w:ascii="仿宋_GB2312" w:eastAsia="仿宋_GB2312"/>
          <w:sz w:val="32"/>
          <w:szCs w:val="32"/>
          <w:highlight w:val="none"/>
        </w:rPr>
        <w:t>、全民健康体检经费等项目年中追加。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38.27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9.40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344.01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84.50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24.84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6.10</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卫生健康支出（类）卫生健康管理事务（款）其他卫生健康管理事务支出（项）:支出决算数为2.69万元，比上年决算增加2.69万元，增长100%，主要原因是：此项资金上年度功能科目为2100399，本年功能科目调整为2100199，列入此款项。</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2.卫生健康支出（类）行政事业单位医疗（款）事业单位医疗（项）:支出决算数为13.19万元，比上年决算增加1.49万元，增长12.74%，主要原因是：单位职工工资考核增资</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3.卫生健康支出（类）基层医疗卫生机构（款）其他基层医疗卫生机构支出（项）:支出决算数为6.27万元，比上年决算减少3.46万元，下降35.56%，主要原因是：村医工资上年度功能科目为2100399，本年功能科目调整为2100199，其他基层医疗卫生机构支出项目资金减少，支出决算数比上年决算减少</w:t>
      </w:r>
      <w:r>
        <w:rPr>
          <w:rFonts w:hint="eastAsia" w:ascii="仿宋_GB2312"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4.卫生健康支出（类）公共卫生（款）其他公共卫生支出（项）:支出决算数为24.59万元，比上年决算增加0.77万元，增长3.23%，主要原因是：自治区全民健康体检经费年中追加。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5.卫生健康支出（类）基层医疗卫生机构（款）乡镇卫生院（项）:支出决算数为252.64万元，比上年决算增加10.87万元，增长4.50%，主要原因是：1、人员政策性增资。2、追加2023年度绩效奖金、考核优秀奖金及本年增资指标支出。</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en-US" w:eastAsia="zh-CN" w:bidi="ar-SA"/>
        </w:rPr>
      </w:pPr>
      <w:r>
        <w:rPr>
          <w:rFonts w:hint="eastAsia" w:ascii="仿宋_GB2312" w:eastAsia="仿宋_GB2312" w:cs="Times New Roman"/>
          <w:color w:val="auto"/>
          <w:spacing w:val="0"/>
          <w:kern w:val="2"/>
          <w:sz w:val="32"/>
          <w:szCs w:val="32"/>
          <w:lang w:val="en-US" w:eastAsia="zh-CN" w:bidi="ar-SA"/>
        </w:rPr>
        <w:t>6.住房保障支出（类）住房改革支出（款）住房公积金（项）:支出决算数为24.84万元，比上年决算增加2.53万元，增长11.35%，主要原因是：由于工资增资，住房公积金缴费基数上调。</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7.社会保障和就业支出（类）行政事业单位养老支出（款）事业单位离退休（项）:支出决算数为7.18万元，比上年决算减少15.46万元，下降68.28%，主要原因是：2023年退休人员医疗金退回，决算数比上年决算减少。</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8.卫生健康支出（类）公共卫生（款）基本公共卫生服务（项）:支出决算数为32.94万元，比上年决算减少0.60万元，下降1.78%，主要原因是：2023年基本公共卫生服务项目资金没有支付完，决算数比上年决算减少。</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9.卫生健康支出（类）公共卫生（款）重大公共卫生服务（项）:支出决算数为11.33万元，比上年决算增加7.61万元，增长187.90</w:t>
      </w:r>
      <w:bookmarkStart w:id="48" w:name="_GoBack"/>
      <w:bookmarkEnd w:id="48"/>
      <w:r>
        <w:rPr>
          <w:rFonts w:hint="eastAsia" w:ascii="仿宋_GB2312" w:eastAsia="仿宋_GB2312" w:cs="Times New Roman"/>
          <w:color w:val="auto"/>
          <w:spacing w:val="0"/>
          <w:kern w:val="2"/>
          <w:sz w:val="32"/>
          <w:szCs w:val="32"/>
          <w:lang w:val="en-US" w:eastAsia="zh-CN" w:bidi="ar-SA"/>
        </w:rPr>
        <w:t>%，主要原因是：2023年加大重大公共卫生服务宣传力度，增加重大公共卫生服务项目资金。</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10.卫生健康支出（类）计划生育事务（款）计划生育服务（项）:支出决算数为0.35万元，比上年决算增加0.03万元，增长9.38%，主要原因是：本年项目下达及支出数比上年增加。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eastAsia="仿宋_GB2312" w:cs="Times New Roman"/>
          <w:color w:val="auto"/>
          <w:spacing w:val="0"/>
          <w:kern w:val="2"/>
          <w:sz w:val="32"/>
          <w:szCs w:val="32"/>
          <w:lang w:val="zh-CN" w:eastAsia="zh-CN" w:bidi="ar-SA"/>
        </w:rPr>
      </w:pPr>
      <w:r>
        <w:rPr>
          <w:rFonts w:hint="eastAsia" w:ascii="仿宋_GB2312" w:eastAsia="仿宋_GB2312" w:cs="Times New Roman"/>
          <w:color w:val="auto"/>
          <w:spacing w:val="0"/>
          <w:kern w:val="2"/>
          <w:sz w:val="32"/>
          <w:szCs w:val="32"/>
          <w:lang w:val="en-US" w:eastAsia="zh-CN" w:bidi="ar-SA"/>
        </w:rPr>
        <w:t>11.社会保障和就业支出（类）行政事业单位养老支出（款）机关事业单位基本养老保险缴费支出（项）:支出决算数为31.09万元，比上年决算增加5.22万元，增长20.19%，主要原因是：单位职工工资考核增资，机关事业单位基本养老保险缴费支出基数提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328.94</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325.74</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基本工资、津贴补贴、奖金、绩效工资、机关事业单位基本养老保险缴费、职工基本医疗保险缴费、其他社会保障缴费、住房公积金、退休费、生活补助、医疗费补助、奖励金。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3.20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工会经费。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此项支出</w:t>
      </w:r>
      <w:r>
        <w:rPr>
          <w:rFonts w:hint="eastAsia" w:ascii="仿宋_GB2312" w:eastAsia="仿宋_GB2312"/>
          <w:sz w:val="32"/>
          <w:szCs w:val="32"/>
          <w:highlight w:val="none"/>
          <w:lang w:eastAsia="zh-CN"/>
        </w:rPr>
        <w:t>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highlight w:val="none"/>
        </w:rPr>
        <w:t>没有此项支出。</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sz w:val="32"/>
          <w:szCs w:val="32"/>
          <w:highlight w:val="none"/>
        </w:rPr>
        <w:t>。</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20" w:name="_Toc1235"/>
      <w:bookmarkStart w:id="21" w:name="_Toc7314"/>
      <w:r>
        <w:rPr>
          <w:rFonts w:hint="eastAsia" w:ascii="黑体" w:hAnsi="黑体" w:eastAsia="黑体" w:cs="宋体"/>
          <w:bCs/>
          <w:color w:val="auto"/>
          <w:kern w:val="0"/>
          <w:sz w:val="32"/>
          <w:szCs w:val="32"/>
          <w:highlight w:val="none"/>
          <w:lang w:val="en-US" w:eastAsia="zh-CN"/>
        </w:rPr>
        <w:t>十、其他重要事项的情况说明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24" w:name="_Toc26704"/>
      <w:bookmarkStart w:id="25"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裕民县阿勒腾也木勒乡卫生院（事业单位）公用经费支出3.20万元，</w:t>
      </w:r>
      <w:r>
        <w:rPr>
          <w:rFonts w:hint="eastAsia" w:ascii="仿宋_GB2312" w:eastAsia="仿宋_GB2312"/>
          <w:color w:val="auto"/>
          <w:sz w:val="32"/>
          <w:szCs w:val="32"/>
          <w:highlight w:val="none"/>
          <w:lang w:val="zh-CN" w:eastAsia="zh-CN"/>
        </w:rPr>
        <w:t>比上年增加0.28万元，增长9.</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val="zh-CN" w:eastAsia="zh-CN"/>
        </w:rPr>
        <w:t>9%，主要原因是：</w:t>
      </w:r>
      <w:r>
        <w:rPr>
          <w:rFonts w:hint="eastAsia" w:ascii="仿宋_GB2312" w:eastAsia="仿宋_GB2312"/>
          <w:color w:val="auto"/>
          <w:sz w:val="32"/>
          <w:szCs w:val="32"/>
          <w:highlight w:val="none"/>
          <w:lang w:eastAsia="zh-CN"/>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年单位职工增资，所以机关运行经费财政拨款决算比上年决算增加</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2023年度政府采购支出总额9.13万元，其中：政府采购货物支出5.13万元、政府采购工程支出0.00万元、政府采购服务支出4.00万元。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授予中小企业合同金额9.13万元，占政府采购支出总额的100.00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，其中：授予小微企业合同金额9.13万元，占政府采购支出总额的100.00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431.03</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屋1296.4平方米，价值223.41万元。车辆1辆，价值10.45万元，其中：副部（省）级及以上领导用车0辆、主要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val="zh-CN" w:eastAsia="zh-CN"/>
        </w:rPr>
        <w:t>辆，其他用车主要是：救护车；单价100万元（含）以上设备（不含车辆）0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bookmarkStart w:id="28" w:name="_Toc11283"/>
      <w:bookmarkStart w:id="29" w:name="_Toc435"/>
      <w:r>
        <w:rPr>
          <w:rFonts w:hint="eastAsia" w:ascii="黑体" w:hAnsi="黑体" w:eastAsia="黑体" w:cs="宋体"/>
          <w:bCs/>
          <w:color w:val="auto"/>
          <w:kern w:val="0"/>
          <w:sz w:val="32"/>
          <w:szCs w:val="32"/>
          <w:highlight w:val="none"/>
          <w:lang w:val="en-US" w:eastAsia="zh-CN"/>
        </w:rPr>
        <w:t>十一、预算绩效的情况说明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预算总额448.12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实际执行总额436.5</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全年预算数100.29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全年执行数78.18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sz w:val="32"/>
          <w:szCs w:val="32"/>
          <w:highlight w:val="none"/>
          <w:lang w:eastAsia="zh-CN"/>
        </w:rPr>
        <w:t>一是农牧民健康意识提高；二是提高农牧民对公共卫生知识的了解，懂得如何预防各种疾病。发现的问题及原因：一是村卫生室医务人员少，各项公共卫生工作开展不到位；二是卫生院没有对村医及时的培训。下一步改进措施：一是加强对村医的培训，提高业务水平；二是积极开展公共卫生工作，及时合理支付项目资金；加强项目实施管理</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十二、其他需说明的事项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黑体"/>
          <w:color w:val="auto"/>
          <w:sz w:val="32"/>
          <w:szCs w:val="32"/>
          <w:highlight w:val="none"/>
        </w:rPr>
      </w:pPr>
      <w:bookmarkStart w:id="30" w:name="_Toc24143"/>
      <w:bookmarkStart w:id="31" w:name="_Toc3250"/>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lang w:val="en-US" w:eastAsia="zh-Hans"/>
        </w:rPr>
        <w:t>项目</w:t>
      </w:r>
      <w:r>
        <w:rPr>
          <w:rFonts w:hint="eastAsia" w:ascii="仿宋_GB2312" w:eastAsia="仿宋_GB2312"/>
          <w:color w:val="auto"/>
          <w:sz w:val="32"/>
          <w:szCs w:val="32"/>
          <w:highlight w:val="none"/>
          <w:lang w:val="en-US" w:eastAsia="zh-CN"/>
        </w:rPr>
        <w:t>1个涉及金额11.33万元。</w:t>
      </w: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2560" w:firstLineChars="800"/>
        <w:jc w:val="both"/>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860DAD"/>
    <w:rsid w:val="019404F8"/>
    <w:rsid w:val="01A43AEF"/>
    <w:rsid w:val="02BD3108"/>
    <w:rsid w:val="02DA32C3"/>
    <w:rsid w:val="02F73D26"/>
    <w:rsid w:val="02FD212B"/>
    <w:rsid w:val="034D4FEF"/>
    <w:rsid w:val="035D1785"/>
    <w:rsid w:val="039F47CE"/>
    <w:rsid w:val="03E05CE8"/>
    <w:rsid w:val="03F973EE"/>
    <w:rsid w:val="043E5B56"/>
    <w:rsid w:val="04C04386"/>
    <w:rsid w:val="04D96608"/>
    <w:rsid w:val="04FA68C4"/>
    <w:rsid w:val="053F5AE6"/>
    <w:rsid w:val="057C0B0F"/>
    <w:rsid w:val="05EF4B48"/>
    <w:rsid w:val="05F76ECA"/>
    <w:rsid w:val="06792773"/>
    <w:rsid w:val="06AE3782"/>
    <w:rsid w:val="07093795"/>
    <w:rsid w:val="07804730"/>
    <w:rsid w:val="079052BE"/>
    <w:rsid w:val="07AF6D5F"/>
    <w:rsid w:val="08145C21"/>
    <w:rsid w:val="084113F2"/>
    <w:rsid w:val="08422688"/>
    <w:rsid w:val="085378CF"/>
    <w:rsid w:val="085854ED"/>
    <w:rsid w:val="0879188F"/>
    <w:rsid w:val="08A0354D"/>
    <w:rsid w:val="08CD4C49"/>
    <w:rsid w:val="09114954"/>
    <w:rsid w:val="093A70E0"/>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D1156"/>
    <w:rsid w:val="0D4903E8"/>
    <w:rsid w:val="0D7A4A46"/>
    <w:rsid w:val="0E640559"/>
    <w:rsid w:val="0E6E7D85"/>
    <w:rsid w:val="0F1113DA"/>
    <w:rsid w:val="0F78534A"/>
    <w:rsid w:val="0F89358A"/>
    <w:rsid w:val="0F8C6D51"/>
    <w:rsid w:val="105B0B5E"/>
    <w:rsid w:val="108167A5"/>
    <w:rsid w:val="112E58D0"/>
    <w:rsid w:val="11731CAC"/>
    <w:rsid w:val="119500A0"/>
    <w:rsid w:val="119A7D4C"/>
    <w:rsid w:val="11C0733B"/>
    <w:rsid w:val="11D50D17"/>
    <w:rsid w:val="11F960A0"/>
    <w:rsid w:val="120E0809"/>
    <w:rsid w:val="127F665A"/>
    <w:rsid w:val="12F7068C"/>
    <w:rsid w:val="12F74C55"/>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5C6F6A"/>
    <w:rsid w:val="176747F9"/>
    <w:rsid w:val="17954A6E"/>
    <w:rsid w:val="17BA2F09"/>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B02E29"/>
    <w:rsid w:val="1FED69B6"/>
    <w:rsid w:val="2064678E"/>
    <w:rsid w:val="20DC1AB9"/>
    <w:rsid w:val="20DD6197"/>
    <w:rsid w:val="212631E0"/>
    <w:rsid w:val="21A53757"/>
    <w:rsid w:val="21A91EE2"/>
    <w:rsid w:val="221236C6"/>
    <w:rsid w:val="22CF1586"/>
    <w:rsid w:val="22D7662C"/>
    <w:rsid w:val="23326B7F"/>
    <w:rsid w:val="23561AFF"/>
    <w:rsid w:val="2380045B"/>
    <w:rsid w:val="239470BF"/>
    <w:rsid w:val="23BC04D2"/>
    <w:rsid w:val="23EF1892"/>
    <w:rsid w:val="2483647E"/>
    <w:rsid w:val="24A32D55"/>
    <w:rsid w:val="25292727"/>
    <w:rsid w:val="252E5CA9"/>
    <w:rsid w:val="256F7692"/>
    <w:rsid w:val="25BA2154"/>
    <w:rsid w:val="25C8773F"/>
    <w:rsid w:val="264A7253"/>
    <w:rsid w:val="26E926D8"/>
    <w:rsid w:val="26F0170C"/>
    <w:rsid w:val="27201D62"/>
    <w:rsid w:val="27286E73"/>
    <w:rsid w:val="27CF2642"/>
    <w:rsid w:val="27E777F5"/>
    <w:rsid w:val="27EA1D4C"/>
    <w:rsid w:val="27EA2E41"/>
    <w:rsid w:val="282459E2"/>
    <w:rsid w:val="283A7FE5"/>
    <w:rsid w:val="285F51FF"/>
    <w:rsid w:val="28DF2665"/>
    <w:rsid w:val="29072599"/>
    <w:rsid w:val="291029F3"/>
    <w:rsid w:val="291C538F"/>
    <w:rsid w:val="29CB58F0"/>
    <w:rsid w:val="2A053397"/>
    <w:rsid w:val="2A145E96"/>
    <w:rsid w:val="2A2131BB"/>
    <w:rsid w:val="2AE177C4"/>
    <w:rsid w:val="2AF5378F"/>
    <w:rsid w:val="2BB94DBF"/>
    <w:rsid w:val="2BFC26B9"/>
    <w:rsid w:val="2C6F314E"/>
    <w:rsid w:val="2CC206BE"/>
    <w:rsid w:val="2D0C703B"/>
    <w:rsid w:val="2D1136DF"/>
    <w:rsid w:val="2D20606D"/>
    <w:rsid w:val="2D3A5070"/>
    <w:rsid w:val="2D975879"/>
    <w:rsid w:val="2DAB5D6A"/>
    <w:rsid w:val="2DB87198"/>
    <w:rsid w:val="2DB93C54"/>
    <w:rsid w:val="2E3D144C"/>
    <w:rsid w:val="2E891204"/>
    <w:rsid w:val="2F3F0A28"/>
    <w:rsid w:val="2FBF7029"/>
    <w:rsid w:val="2FD0187F"/>
    <w:rsid w:val="2FD27414"/>
    <w:rsid w:val="2FFE4BB0"/>
    <w:rsid w:val="300E7B60"/>
    <w:rsid w:val="300F6E18"/>
    <w:rsid w:val="30242127"/>
    <w:rsid w:val="30862F5F"/>
    <w:rsid w:val="314029C9"/>
    <w:rsid w:val="31C63837"/>
    <w:rsid w:val="31C82E39"/>
    <w:rsid w:val="322A6129"/>
    <w:rsid w:val="32601BAD"/>
    <w:rsid w:val="326738FC"/>
    <w:rsid w:val="329F6389"/>
    <w:rsid w:val="3344033C"/>
    <w:rsid w:val="3389023A"/>
    <w:rsid w:val="33CB74FA"/>
    <w:rsid w:val="33E83F7A"/>
    <w:rsid w:val="343642F2"/>
    <w:rsid w:val="343F3010"/>
    <w:rsid w:val="345D0A00"/>
    <w:rsid w:val="34713BFD"/>
    <w:rsid w:val="34C13589"/>
    <w:rsid w:val="353369E3"/>
    <w:rsid w:val="35A025CC"/>
    <w:rsid w:val="35B75F88"/>
    <w:rsid w:val="35E00D72"/>
    <w:rsid w:val="36965B9D"/>
    <w:rsid w:val="36C549FD"/>
    <w:rsid w:val="37A755DD"/>
    <w:rsid w:val="37F94FA0"/>
    <w:rsid w:val="380D3381"/>
    <w:rsid w:val="38115B1F"/>
    <w:rsid w:val="383C4D49"/>
    <w:rsid w:val="385E3AC3"/>
    <w:rsid w:val="387D6B9E"/>
    <w:rsid w:val="38B0713D"/>
    <w:rsid w:val="38B75FF0"/>
    <w:rsid w:val="38D45016"/>
    <w:rsid w:val="38D90432"/>
    <w:rsid w:val="3914510A"/>
    <w:rsid w:val="3926770B"/>
    <w:rsid w:val="398D3668"/>
    <w:rsid w:val="39DA0497"/>
    <w:rsid w:val="3A893816"/>
    <w:rsid w:val="3A893B6D"/>
    <w:rsid w:val="3AD1763A"/>
    <w:rsid w:val="3B04119E"/>
    <w:rsid w:val="3B6610D6"/>
    <w:rsid w:val="3B6716E3"/>
    <w:rsid w:val="3B6C6B2D"/>
    <w:rsid w:val="3BC84A5E"/>
    <w:rsid w:val="3C051BF9"/>
    <w:rsid w:val="3C242659"/>
    <w:rsid w:val="3C594890"/>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2A42FF"/>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5674EA2"/>
    <w:rsid w:val="46061BDC"/>
    <w:rsid w:val="461404F8"/>
    <w:rsid w:val="46413018"/>
    <w:rsid w:val="464B7E04"/>
    <w:rsid w:val="468041AA"/>
    <w:rsid w:val="468123C6"/>
    <w:rsid w:val="46901EEE"/>
    <w:rsid w:val="469C74D2"/>
    <w:rsid w:val="46EB4748"/>
    <w:rsid w:val="473C39D2"/>
    <w:rsid w:val="47445515"/>
    <w:rsid w:val="474B4782"/>
    <w:rsid w:val="47D90D14"/>
    <w:rsid w:val="48387FB0"/>
    <w:rsid w:val="483A6114"/>
    <w:rsid w:val="488727DB"/>
    <w:rsid w:val="48B82268"/>
    <w:rsid w:val="48C354B3"/>
    <w:rsid w:val="493D58B5"/>
    <w:rsid w:val="494A7A04"/>
    <w:rsid w:val="4A0A26D2"/>
    <w:rsid w:val="4A2019A5"/>
    <w:rsid w:val="4A241A0B"/>
    <w:rsid w:val="4A581016"/>
    <w:rsid w:val="4A7B2875"/>
    <w:rsid w:val="4A934476"/>
    <w:rsid w:val="4AAA220A"/>
    <w:rsid w:val="4AE12E67"/>
    <w:rsid w:val="4B4C0111"/>
    <w:rsid w:val="4B8553A9"/>
    <w:rsid w:val="4BDB3730"/>
    <w:rsid w:val="4C200F7A"/>
    <w:rsid w:val="4CEE3180"/>
    <w:rsid w:val="4D0F4AF6"/>
    <w:rsid w:val="4D5D18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C102B7"/>
    <w:rsid w:val="524F7E3A"/>
    <w:rsid w:val="525C687F"/>
    <w:rsid w:val="52F647F7"/>
    <w:rsid w:val="52F92565"/>
    <w:rsid w:val="53B33B02"/>
    <w:rsid w:val="53D03877"/>
    <w:rsid w:val="542F73CA"/>
    <w:rsid w:val="5430786D"/>
    <w:rsid w:val="545A1D2A"/>
    <w:rsid w:val="54C811C0"/>
    <w:rsid w:val="556A442D"/>
    <w:rsid w:val="55DA564E"/>
    <w:rsid w:val="5604127D"/>
    <w:rsid w:val="56166703"/>
    <w:rsid w:val="562904A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9C43F1"/>
    <w:rsid w:val="59DC367F"/>
    <w:rsid w:val="5A60780B"/>
    <w:rsid w:val="5A917A49"/>
    <w:rsid w:val="5AB34579"/>
    <w:rsid w:val="5ACF6B43"/>
    <w:rsid w:val="5AFC6609"/>
    <w:rsid w:val="5B113480"/>
    <w:rsid w:val="5BD456CE"/>
    <w:rsid w:val="5BF61B3F"/>
    <w:rsid w:val="5C0D1F49"/>
    <w:rsid w:val="5CBB0CE2"/>
    <w:rsid w:val="5CC17177"/>
    <w:rsid w:val="5CF306BC"/>
    <w:rsid w:val="5D3F3D64"/>
    <w:rsid w:val="5D833043"/>
    <w:rsid w:val="5D8E242C"/>
    <w:rsid w:val="5DBF273D"/>
    <w:rsid w:val="5DD92690"/>
    <w:rsid w:val="5DDB1CFD"/>
    <w:rsid w:val="5E1379C6"/>
    <w:rsid w:val="5E7E6D93"/>
    <w:rsid w:val="5ED44800"/>
    <w:rsid w:val="5F245C16"/>
    <w:rsid w:val="5F350BDE"/>
    <w:rsid w:val="5F61632C"/>
    <w:rsid w:val="5FA17648"/>
    <w:rsid w:val="5FB903CE"/>
    <w:rsid w:val="5FD80A79"/>
    <w:rsid w:val="5FE705CB"/>
    <w:rsid w:val="603D5080"/>
    <w:rsid w:val="60D0261B"/>
    <w:rsid w:val="618E3791"/>
    <w:rsid w:val="61947DCA"/>
    <w:rsid w:val="61A46A97"/>
    <w:rsid w:val="61D1382F"/>
    <w:rsid w:val="61D92B71"/>
    <w:rsid w:val="61F114A2"/>
    <w:rsid w:val="62512BB4"/>
    <w:rsid w:val="625D7D1A"/>
    <w:rsid w:val="62DD7D21"/>
    <w:rsid w:val="630552D1"/>
    <w:rsid w:val="637D586B"/>
    <w:rsid w:val="63A5560B"/>
    <w:rsid w:val="63E9091F"/>
    <w:rsid w:val="64322AF9"/>
    <w:rsid w:val="64C35EC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8C2E06"/>
    <w:rsid w:val="6E9C74ED"/>
    <w:rsid w:val="6EF72976"/>
    <w:rsid w:val="6F795A80"/>
    <w:rsid w:val="6F7C1D2E"/>
    <w:rsid w:val="6F8E0407"/>
    <w:rsid w:val="6FDD069F"/>
    <w:rsid w:val="702B4D16"/>
    <w:rsid w:val="707B3E4D"/>
    <w:rsid w:val="70AA6621"/>
    <w:rsid w:val="70FC76AB"/>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407A07"/>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7F63BE"/>
    <w:rsid w:val="79D57D57"/>
    <w:rsid w:val="79E6411A"/>
    <w:rsid w:val="79F00650"/>
    <w:rsid w:val="7A3507BC"/>
    <w:rsid w:val="7A6242BF"/>
    <w:rsid w:val="7A794513"/>
    <w:rsid w:val="7AE952D2"/>
    <w:rsid w:val="7B280A63"/>
    <w:rsid w:val="7BDD1E38"/>
    <w:rsid w:val="7C63071C"/>
    <w:rsid w:val="7C7248A0"/>
    <w:rsid w:val="7C976D69"/>
    <w:rsid w:val="7CD752DA"/>
    <w:rsid w:val="7CDE40AB"/>
    <w:rsid w:val="7CF057E2"/>
    <w:rsid w:val="7D1548B5"/>
    <w:rsid w:val="7DF470AE"/>
    <w:rsid w:val="7DF84014"/>
    <w:rsid w:val="7E207949"/>
    <w:rsid w:val="7E5C0A47"/>
    <w:rsid w:val="7E670C75"/>
    <w:rsid w:val="7EE24272"/>
    <w:rsid w:val="7EEA6053"/>
    <w:rsid w:val="7F487C04"/>
    <w:rsid w:val="7F965A1E"/>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5397</Words>
  <Characters>6090</Characters>
  <Lines>0</Lines>
  <Paragraphs>0</Paragraphs>
  <TotalTime>19</TotalTime>
  <ScaleCrop>false</ScaleCrop>
  <LinksUpToDate>false</LinksUpToDate>
  <CharactersWithSpaces>6100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2025-04-08T03:35:05Z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F4304D4D52E5400780D1C54E3CFFDCD1_13</vt:lpwstr>
  </property>
</Properties>
</file>