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B12C0">
      <w:pPr>
        <w:keepNext w:val="0"/>
        <w:keepLines w:val="0"/>
        <w:pageBreakBefore w:val="0"/>
        <w:kinsoku/>
        <w:wordWrap/>
        <w:overflowPunct/>
        <w:topLinePunct w:val="0"/>
        <w:bidi w:val="0"/>
        <w:adjustRightInd/>
        <w:snapToGrid/>
        <w:jc w:val="both"/>
        <w:textAlignment w:val="auto"/>
        <w:rPr>
          <w:rFonts w:ascii="黑体" w:hAnsi="黑体" w:eastAsia="黑体"/>
          <w:sz w:val="32"/>
          <w:szCs w:val="32"/>
        </w:rPr>
      </w:pPr>
    </w:p>
    <w:p w14:paraId="413F8E63">
      <w:pPr>
        <w:keepNext w:val="0"/>
        <w:keepLines w:val="0"/>
        <w:pageBreakBefore w:val="0"/>
        <w:kinsoku/>
        <w:wordWrap/>
        <w:overflowPunct/>
        <w:topLinePunct w:val="0"/>
        <w:bidi w:val="0"/>
        <w:adjustRightInd/>
        <w:snapToGrid/>
        <w:jc w:val="both"/>
        <w:textAlignment w:val="auto"/>
        <w:rPr>
          <w:rFonts w:ascii="方正小标宋_GBK" w:hAnsi="宋体" w:eastAsia="方正小标宋_GBK"/>
          <w:sz w:val="44"/>
          <w:szCs w:val="44"/>
        </w:rPr>
      </w:pPr>
    </w:p>
    <w:p w14:paraId="580B392F">
      <w:pPr>
        <w:keepNext w:val="0"/>
        <w:keepLines w:val="0"/>
        <w:pageBreakBefore w:val="0"/>
        <w:kinsoku/>
        <w:wordWrap/>
        <w:overflowPunct/>
        <w:topLinePunct w:val="0"/>
        <w:bidi w:val="0"/>
        <w:adjustRightInd/>
        <w:snapToGrid/>
        <w:jc w:val="center"/>
        <w:textAlignment w:val="auto"/>
        <w:rPr>
          <w:rFonts w:ascii="方正小标宋_GBK" w:hAnsi="宋体" w:eastAsia="方正小标宋_GBK"/>
          <w:sz w:val="44"/>
          <w:szCs w:val="44"/>
        </w:rPr>
      </w:pPr>
      <w:r>
        <w:rPr>
          <w:rFonts w:hint="eastAsia" w:ascii="方正小标宋_GBK" w:hAnsi="宋体" w:eastAsia="方正小标宋_GBK"/>
          <w:sz w:val="44"/>
          <w:szCs w:val="44"/>
        </w:rPr>
        <w:t>裕民县巴什拜种羊基地建设中心</w:t>
      </w:r>
    </w:p>
    <w:p w14:paraId="04847D10">
      <w:pPr>
        <w:keepNext w:val="0"/>
        <w:keepLines w:val="0"/>
        <w:pageBreakBefore w:val="0"/>
        <w:kinsoku/>
        <w:wordWrap/>
        <w:overflowPunct/>
        <w:topLinePunct w:val="0"/>
        <w:bidi w:val="0"/>
        <w:adjustRightInd/>
        <w:snapToGrid/>
        <w:jc w:val="center"/>
        <w:textAlignment w:val="auto"/>
        <w:rPr>
          <w:rFonts w:ascii="方正小标宋_GBK" w:hAnsi="宋体" w:eastAsia="方正小标宋_GBK"/>
          <w:sz w:val="44"/>
          <w:szCs w:val="44"/>
        </w:rPr>
      </w:pPr>
      <w:r>
        <w:rPr>
          <w:rFonts w:hint="eastAsia" w:ascii="方正小标宋_GBK" w:hAnsi="宋体" w:eastAsia="方正小标宋_GBK"/>
          <w:sz w:val="44"/>
          <w:szCs w:val="44"/>
        </w:rPr>
        <w:t>2023年度部门决算</w:t>
      </w:r>
    </w:p>
    <w:p w14:paraId="4A2AE6B4">
      <w:pPr>
        <w:keepNext w:val="0"/>
        <w:keepLines w:val="0"/>
        <w:pageBreakBefore w:val="0"/>
        <w:kinsoku/>
        <w:wordWrap/>
        <w:overflowPunct/>
        <w:topLinePunct w:val="0"/>
        <w:bidi w:val="0"/>
        <w:adjustRightInd/>
        <w:snapToGrid/>
        <w:jc w:val="center"/>
        <w:textAlignment w:val="auto"/>
        <w:rPr>
          <w:rFonts w:ascii="方正小标宋_GBK" w:hAnsi="宋体" w:eastAsia="方正小标宋_GBK"/>
          <w:sz w:val="44"/>
          <w:szCs w:val="44"/>
        </w:rPr>
      </w:pPr>
      <w:r>
        <w:rPr>
          <w:rFonts w:hint="eastAsia" w:ascii="方正小标宋_GBK" w:hAnsi="宋体" w:eastAsia="方正小标宋_GBK"/>
          <w:sz w:val="44"/>
          <w:szCs w:val="44"/>
        </w:rPr>
        <w:t>公开说明</w:t>
      </w:r>
    </w:p>
    <w:p w14:paraId="59A4FD02">
      <w:pPr>
        <w:keepNext w:val="0"/>
        <w:keepLines w:val="0"/>
        <w:pageBreakBefore w:val="0"/>
        <w:kinsoku/>
        <w:wordWrap/>
        <w:overflowPunct/>
        <w:topLinePunct w:val="0"/>
        <w:bidi w:val="0"/>
        <w:adjustRightInd/>
        <w:snapToGrid/>
        <w:jc w:val="both"/>
        <w:textAlignment w:val="auto"/>
        <w:rPr>
          <w:rFonts w:ascii="方正小标宋_GBK" w:hAnsi="宋体" w:eastAsia="方正小标宋_GBK"/>
          <w:sz w:val="44"/>
          <w:szCs w:val="44"/>
        </w:rPr>
      </w:pPr>
      <w:r>
        <w:rPr>
          <w:rFonts w:hint="eastAsia" w:ascii="方正小标宋_GBK" w:hAnsi="宋体" w:eastAsia="方正小标宋_GBK"/>
          <w:sz w:val="44"/>
          <w:szCs w:val="44"/>
        </w:rPr>
        <w:br w:type="page"/>
      </w:r>
    </w:p>
    <w:p w14:paraId="41B2D0F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14:paraId="1A2B49A3">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14:paraId="6E00D8BA">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C1AF18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66C9B2D2">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26A4CFC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61CCFBF2">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7F7F460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50604D93">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B2A6A21">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06D23DCF">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7BBB9DF">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4522CD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45F6A344">
      <w:pPr>
        <w:keepNext w:val="0"/>
        <w:keepLines w:val="0"/>
        <w:pageBreakBefore w:val="0"/>
        <w:kinsoku/>
        <w:wordWrap/>
        <w:overflowPunct/>
        <w:topLinePunct w:val="0"/>
        <w:bidi w:val="0"/>
        <w:adjustRightInd/>
        <w:snapToGrid/>
        <w:jc w:val="both"/>
        <w:textAlignment w:val="auto"/>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0D670D5">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04780E8">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14:paraId="3CEE2557">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2598C13">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2C2DCB65">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5B5CBA71">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2C774F0F">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095D7F07">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0B2E33F5">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44CFBDFA">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C97AA4D">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03AFB8D3">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4885BCF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56676C8A">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743367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14:paraId="1BA1210F">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14:paraId="0F86E059">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14:paraId="5B069D42">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14:paraId="16748B8B">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bookmarkStart w:id="0" w:name="_Toc32314"/>
      <w:bookmarkStart w:id="1" w:name="_Toc24028"/>
    </w:p>
    <w:p w14:paraId="049EAE13">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4581D6C7">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76B46C88">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645BC50B">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5C6D508F">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698D4D0E">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04FE2D54">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7ED1C89F">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66CBF7C1">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43F0573B">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1761BD13">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0654DA69">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75DB5E27">
      <w:pPr>
        <w:keepNext w:val="0"/>
        <w:keepLines w:val="0"/>
        <w:pageBreakBefore w:val="0"/>
        <w:kinsoku/>
        <w:wordWrap/>
        <w:overflowPunct/>
        <w:topLinePunct w:val="0"/>
        <w:bidi w:val="0"/>
        <w:adjustRightInd/>
        <w:snapToGrid/>
        <w:jc w:val="center"/>
        <w:textAlignment w:val="auto"/>
        <w:outlineLvl w:val="0"/>
        <w:rPr>
          <w:rFonts w:ascii="黑体" w:hAnsi="黑体" w:eastAsia="黑体"/>
          <w:sz w:val="32"/>
          <w:szCs w:val="32"/>
        </w:rPr>
      </w:pPr>
      <w:r>
        <w:rPr>
          <w:rFonts w:hint="eastAsia" w:ascii="黑体" w:hAnsi="黑体" w:eastAsia="黑体"/>
          <w:sz w:val="32"/>
          <w:szCs w:val="32"/>
        </w:rPr>
        <w:t>第一部分 单位概况</w:t>
      </w:r>
      <w:bookmarkEnd w:id="0"/>
      <w:bookmarkEnd w:id="1"/>
    </w:p>
    <w:p w14:paraId="0E0198EF">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74A3E5C">
      <w:pPr>
        <w:keepNext w:val="0"/>
        <w:keepLines w:val="0"/>
        <w:pageBreakBefore w:val="0"/>
        <w:kinsoku/>
        <w:wordWrap/>
        <w:overflowPunct/>
        <w:topLinePunct w:val="0"/>
        <w:bidi w:val="0"/>
        <w:adjustRightInd/>
        <w:snapToGrid/>
        <w:ind w:firstLine="640" w:firstLineChars="200"/>
        <w:jc w:val="both"/>
        <w:textAlignment w:val="auto"/>
        <w:outlineLvl w:val="9"/>
        <w:rPr>
          <w:rFonts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（1）切实搞好巴什拜种羊疫病防控工作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（2）加强畜牧科技推广与应用</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（3）为全疆培育提供巴什拜种羊，并鉴定建档</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（4）为裕民县制定巴什拜羊产业发展规划，信息咨询以及巴什拜羊科研工作。</w:t>
      </w:r>
    </w:p>
    <w:p w14:paraId="36317A08">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CF68BF9">
      <w:pPr>
        <w:keepNext w:val="0"/>
        <w:keepLines w:val="0"/>
        <w:pageBreakBefore w:val="0"/>
        <w:kinsoku/>
        <w:wordWrap/>
        <w:overflowPunct/>
        <w:topLinePunct w:val="0"/>
        <w:bidi w:val="0"/>
        <w:adjustRightInd/>
        <w:snapToGrid/>
        <w:ind w:firstLine="640" w:firstLineChars="200"/>
        <w:jc w:val="both"/>
        <w:textAlignment w:val="auto"/>
        <w:rPr>
          <w:rFonts w:ascii="仿宋_GB2312" w:hAnsi="仿宋_GB2312" w:eastAsia="仿宋_GB2312" w:cs="仿宋_GB2312"/>
          <w:b/>
          <w:sz w:val="32"/>
          <w:szCs w:val="32"/>
        </w:rPr>
      </w:pPr>
      <w:r>
        <w:rPr>
          <w:rFonts w:hint="eastAsia" w:ascii="仿宋_GB2312" w:eastAsia="仿宋_GB2312"/>
          <w:sz w:val="32"/>
          <w:szCs w:val="32"/>
        </w:rPr>
        <w:t>裕民县巴什拜种羊基地建设中心2023年度，实有人数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4DC2BF05">
      <w:pPr>
        <w:keepNext w:val="0"/>
        <w:keepLines w:val="0"/>
        <w:pageBreakBefore w:val="0"/>
        <w:widowControl/>
        <w:kinsoku/>
        <w:wordWrap/>
        <w:overflowPunct/>
        <w:topLinePunct w:val="0"/>
        <w:bidi w:val="0"/>
        <w:adjustRightInd/>
        <w:snapToGrid/>
        <w:spacing w:line="560" w:lineRule="exact"/>
        <w:ind w:firstLine="640"/>
        <w:jc w:val="both"/>
        <w:textAlignment w:val="auto"/>
        <w:rPr>
          <w:rFonts w:ascii="仿宋_GB2312" w:hAnsi="宋体" w:eastAsia="仿宋_GB2312" w:cs="宋体"/>
          <w:kern w:val="0"/>
          <w:sz w:val="32"/>
          <w:szCs w:val="32"/>
        </w:rPr>
      </w:pPr>
      <w:bookmarkStart w:id="6" w:name="_Toc3092"/>
      <w:bookmarkStart w:id="7" w:name="_Toc29374"/>
      <w:r>
        <w:rPr>
          <w:rFonts w:hint="eastAsia" w:ascii="仿宋_GB2312" w:hAnsi="黑体" w:eastAsia="仿宋_GB2312" w:cs="宋体"/>
          <w:bCs/>
          <w:kern w:val="0"/>
          <w:sz w:val="32"/>
          <w:szCs w:val="32"/>
        </w:rPr>
        <w:t>裕民县巴什拜种羊基地建设中心单位无下属预算单位，下设2个处室，分别是：办公室、财务室</w:t>
      </w:r>
      <w:r>
        <w:rPr>
          <w:rFonts w:hint="eastAsia" w:ascii="仿宋_GB2312" w:hAnsi="宋体" w:eastAsia="仿宋_GB2312" w:cs="宋体"/>
          <w:kern w:val="0"/>
          <w:sz w:val="32"/>
          <w:szCs w:val="32"/>
        </w:rPr>
        <w:t>。</w:t>
      </w:r>
    </w:p>
    <w:p w14:paraId="505A5C26">
      <w:pPr>
        <w:keepNext w:val="0"/>
        <w:keepLines w:val="0"/>
        <w:pageBreakBefore w:val="0"/>
        <w:kinsoku/>
        <w:wordWrap/>
        <w:overflowPunct/>
        <w:topLinePunct w:val="0"/>
        <w:bidi w:val="0"/>
        <w:adjustRightInd/>
        <w:snapToGrid/>
        <w:jc w:val="center"/>
        <w:textAlignment w:val="auto"/>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1815DE0C">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17B592F5">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2023年度收入总计127.90万元，</w:t>
      </w:r>
      <w:r>
        <w:rPr>
          <w:rFonts w:hint="eastAsia" w:ascii="仿宋_GB2312" w:eastAsia="仿宋_GB2312"/>
          <w:sz w:val="32"/>
          <w:szCs w:val="32"/>
        </w:rPr>
        <w:t>其中：本年收入合计122.90万元，使用非财政拨款结余0.00万元，年初结转和结余5.00万元。</w:t>
      </w:r>
    </w:p>
    <w:p w14:paraId="4261309A">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2023年度支出总计127.90万元，</w:t>
      </w:r>
      <w:r>
        <w:rPr>
          <w:rFonts w:hint="eastAsia" w:ascii="仿宋_GB2312" w:eastAsia="仿宋_GB2312"/>
          <w:sz w:val="32"/>
          <w:szCs w:val="32"/>
        </w:rPr>
        <w:t>其中：本年支出合计122.90万元，结余分配0.00万元，年末结转和结余5.00万元。</w:t>
      </w:r>
    </w:p>
    <w:p w14:paraId="61144CCD">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增加15.07万元</w:t>
      </w:r>
      <w:r>
        <w:rPr>
          <w:rFonts w:hint="eastAsia" w:ascii="仿宋_GB2312" w:eastAsia="仿宋_GB2312"/>
          <w:sz w:val="32"/>
          <w:szCs w:val="32"/>
        </w:rPr>
        <w:t>，</w:t>
      </w:r>
      <w:r>
        <w:rPr>
          <w:rFonts w:hint="eastAsia" w:ascii="仿宋_GB2312" w:eastAsia="仿宋_GB2312"/>
          <w:sz w:val="32"/>
          <w:szCs w:val="32"/>
          <w:lang w:val="zh-CN"/>
        </w:rPr>
        <w:t>增长13.36%</w:t>
      </w:r>
      <w:r>
        <w:rPr>
          <w:rFonts w:hint="eastAsia" w:ascii="仿宋_GB2312" w:eastAsia="仿宋_GB2312"/>
          <w:sz w:val="32"/>
          <w:szCs w:val="32"/>
        </w:rPr>
        <w:t>，主要原因是：人员政策性调资</w:t>
      </w:r>
      <w:r>
        <w:rPr>
          <w:rFonts w:hint="eastAsia" w:ascii="仿宋_GB2312" w:eastAsia="仿宋_GB2312"/>
          <w:sz w:val="32"/>
          <w:szCs w:val="32"/>
          <w:lang w:eastAsia="zh-CN"/>
        </w:rPr>
        <w:t>增加</w:t>
      </w:r>
      <w:r>
        <w:rPr>
          <w:rFonts w:hint="eastAsia" w:ascii="仿宋_GB2312" w:eastAsia="仿宋_GB2312"/>
          <w:sz w:val="32"/>
          <w:szCs w:val="32"/>
        </w:rPr>
        <w:t>，社保基数有所增加，项目资金下达数有所增大。</w:t>
      </w:r>
    </w:p>
    <w:p w14:paraId="08A43720">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108D6D9">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本年收入122.90万元，</w:t>
      </w:r>
      <w:r>
        <w:rPr>
          <w:rFonts w:hint="eastAsia" w:ascii="仿宋_GB2312" w:eastAsia="仿宋_GB2312"/>
          <w:sz w:val="32"/>
          <w:szCs w:val="32"/>
        </w:rPr>
        <w:t>其中：财政拨款收入</w:t>
      </w:r>
      <w:r>
        <w:rPr>
          <w:rFonts w:hint="eastAsia" w:ascii="仿宋_GB2312" w:eastAsia="仿宋_GB2312"/>
          <w:sz w:val="32"/>
          <w:szCs w:val="32"/>
          <w:lang w:val="zh-CN"/>
        </w:rPr>
        <w:t>122.90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4487448">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41FDB4C8">
      <w:pPr>
        <w:keepNext w:val="0"/>
        <w:keepLines w:val="0"/>
        <w:pageBreakBefore w:val="0"/>
        <w:kinsoku/>
        <w:wordWrap/>
        <w:overflowPunct/>
        <w:topLinePunct w:val="0"/>
        <w:bidi w:val="0"/>
        <w:adjustRightInd/>
        <w:snapToGrid/>
        <w:ind w:firstLine="643" w:firstLineChars="200"/>
        <w:jc w:val="both"/>
        <w:textAlignment w:val="auto"/>
        <w:rPr>
          <w:rFonts w:hint="eastAsia" w:ascii="仿宋_GB2312" w:eastAsia="仿宋_GB2312"/>
          <w:sz w:val="32"/>
          <w:szCs w:val="32"/>
          <w:lang w:val="zh-CN"/>
        </w:rPr>
      </w:pPr>
      <w:r>
        <w:rPr>
          <w:rFonts w:hint="eastAsia" w:ascii="仿宋_GB2312" w:eastAsia="仿宋_GB2312"/>
          <w:b/>
          <w:bCs/>
          <w:sz w:val="32"/>
          <w:szCs w:val="32"/>
          <w:lang w:val="zh-CN"/>
        </w:rPr>
        <w:t>本年支出122.90万元，</w:t>
      </w:r>
      <w:r>
        <w:rPr>
          <w:rFonts w:hint="eastAsia" w:ascii="仿宋_GB2312" w:eastAsia="仿宋_GB2312"/>
          <w:sz w:val="32"/>
          <w:szCs w:val="32"/>
          <w:lang w:val="zh-CN"/>
        </w:rPr>
        <w:t>其中：基本支出102.82万元，占83.66%；项目支出20.08万元，占16.34%；上缴上级支出0.00万元，占0.00%；经营支出0.00万元，占0.00%；对附属单位补助支出0.00万元，占0.00%。</w:t>
      </w:r>
    </w:p>
    <w:p w14:paraId="20B485B6">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F8D75CB">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122.90</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122.90</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122.90</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122.90</w:t>
      </w:r>
      <w:r>
        <w:rPr>
          <w:rFonts w:hint="eastAsia" w:ascii="仿宋_GB2312" w:eastAsia="仿宋_GB2312"/>
          <w:sz w:val="32"/>
          <w:szCs w:val="32"/>
        </w:rPr>
        <w:t>万元。</w:t>
      </w:r>
    </w:p>
    <w:p w14:paraId="077DB109">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增加15.07万元</w:t>
      </w:r>
      <w:r>
        <w:rPr>
          <w:rFonts w:hint="eastAsia" w:ascii="仿宋_GB2312" w:eastAsia="仿宋_GB2312"/>
          <w:sz w:val="32"/>
          <w:szCs w:val="32"/>
        </w:rPr>
        <w:t>，</w:t>
      </w:r>
      <w:r>
        <w:rPr>
          <w:rFonts w:hint="eastAsia" w:ascii="仿宋_GB2312" w:eastAsia="仿宋_GB2312"/>
          <w:sz w:val="32"/>
          <w:szCs w:val="32"/>
          <w:lang w:val="zh-CN"/>
        </w:rPr>
        <w:t>增长13.98%，</w:t>
      </w:r>
      <w:r>
        <w:rPr>
          <w:rFonts w:hint="eastAsia" w:ascii="仿宋_GB2312" w:eastAsia="仿宋_GB2312"/>
          <w:sz w:val="32"/>
          <w:szCs w:val="32"/>
        </w:rPr>
        <w:t>主要原因是：人员政策性调资</w:t>
      </w:r>
      <w:r>
        <w:rPr>
          <w:rFonts w:hint="eastAsia" w:ascii="仿宋_GB2312" w:eastAsia="仿宋_GB2312"/>
          <w:sz w:val="32"/>
          <w:szCs w:val="32"/>
          <w:lang w:eastAsia="zh-CN"/>
        </w:rPr>
        <w:t>增加</w:t>
      </w:r>
      <w:r>
        <w:rPr>
          <w:rFonts w:hint="eastAsia" w:ascii="仿宋_GB2312" w:eastAsia="仿宋_GB2312"/>
          <w:sz w:val="32"/>
          <w:szCs w:val="32"/>
        </w:rPr>
        <w:t>，社保基数有所增加，项目资金下达数有所增大。</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112.13</w:t>
      </w:r>
      <w:r>
        <w:rPr>
          <w:rFonts w:hint="eastAsia" w:ascii="仿宋_GB2312" w:eastAsia="仿宋_GB2312"/>
          <w:sz w:val="32"/>
          <w:szCs w:val="32"/>
        </w:rPr>
        <w:t>万元，决算数</w:t>
      </w:r>
      <w:r>
        <w:rPr>
          <w:rFonts w:hint="eastAsia" w:ascii="仿宋_GB2312" w:eastAsia="仿宋_GB2312"/>
          <w:sz w:val="32"/>
          <w:szCs w:val="32"/>
          <w:lang w:val="zh-CN"/>
        </w:rPr>
        <w:t>122.90</w:t>
      </w:r>
      <w:r>
        <w:rPr>
          <w:rFonts w:hint="eastAsia" w:ascii="仿宋_GB2312" w:eastAsia="仿宋_GB2312"/>
          <w:sz w:val="32"/>
          <w:szCs w:val="32"/>
        </w:rPr>
        <w:t>万元，预决算差异率9.60%，主要原因是：人员政策性调资</w:t>
      </w:r>
      <w:r>
        <w:rPr>
          <w:rFonts w:hint="eastAsia" w:ascii="仿宋_GB2312" w:eastAsia="仿宋_GB2312"/>
          <w:sz w:val="32"/>
          <w:szCs w:val="32"/>
          <w:lang w:eastAsia="zh-CN"/>
        </w:rPr>
        <w:t>增加</w:t>
      </w:r>
      <w:r>
        <w:rPr>
          <w:rFonts w:hint="eastAsia" w:ascii="仿宋_GB2312" w:eastAsia="仿宋_GB2312"/>
          <w:sz w:val="32"/>
          <w:szCs w:val="32"/>
        </w:rPr>
        <w:t>，社保基数有所增加，项目资金下达数有所增大。</w:t>
      </w:r>
    </w:p>
    <w:p w14:paraId="7B91C173">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1FE517B">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CD00DDD">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ascii="仿宋_GB2312" w:eastAsia="仿宋_GB2312"/>
          <w:sz w:val="32"/>
          <w:szCs w:val="32"/>
        </w:rPr>
      </w:pPr>
      <w:r>
        <w:rPr>
          <w:rFonts w:hint="eastAsia" w:ascii="仿宋_GB2312" w:eastAsia="仿宋_GB2312"/>
          <w:b/>
          <w:bCs/>
          <w:sz w:val="32"/>
          <w:szCs w:val="32"/>
        </w:rPr>
        <w:t>2023年度一般公共预算财政拨款支出122.90万元，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增加15.07万元</w:t>
      </w:r>
      <w:r>
        <w:rPr>
          <w:rFonts w:hint="eastAsia" w:ascii="仿宋_GB2312" w:eastAsia="仿宋_GB2312"/>
          <w:sz w:val="32"/>
          <w:szCs w:val="32"/>
        </w:rPr>
        <w:t>，</w:t>
      </w:r>
      <w:r>
        <w:rPr>
          <w:rFonts w:hint="eastAsia" w:ascii="仿宋_GB2312" w:eastAsia="仿宋_GB2312"/>
          <w:sz w:val="32"/>
          <w:szCs w:val="32"/>
          <w:lang w:val="zh-CN"/>
        </w:rPr>
        <w:t>增长13.98%，</w:t>
      </w:r>
      <w:r>
        <w:rPr>
          <w:rFonts w:hint="eastAsia" w:ascii="仿宋_GB2312" w:eastAsia="仿宋_GB2312"/>
          <w:sz w:val="32"/>
          <w:szCs w:val="32"/>
        </w:rPr>
        <w:t>主要原因是：人员政策性调资</w:t>
      </w:r>
      <w:r>
        <w:rPr>
          <w:rFonts w:hint="eastAsia" w:ascii="仿宋_GB2312" w:eastAsia="仿宋_GB2312"/>
          <w:sz w:val="32"/>
          <w:szCs w:val="32"/>
          <w:lang w:eastAsia="zh-CN"/>
        </w:rPr>
        <w:t>增加</w:t>
      </w:r>
      <w:r>
        <w:rPr>
          <w:rFonts w:hint="eastAsia" w:ascii="仿宋_GB2312" w:eastAsia="仿宋_GB2312"/>
          <w:sz w:val="32"/>
          <w:szCs w:val="32"/>
        </w:rPr>
        <w:t>，社保基数有所增加，项目资金下达数有所增大。</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112.13</w:t>
      </w:r>
      <w:r>
        <w:rPr>
          <w:rFonts w:hint="eastAsia" w:ascii="仿宋_GB2312" w:eastAsia="仿宋_GB2312"/>
          <w:sz w:val="32"/>
          <w:szCs w:val="32"/>
        </w:rPr>
        <w:t>万元，决算数</w:t>
      </w:r>
      <w:r>
        <w:rPr>
          <w:rFonts w:hint="eastAsia" w:ascii="仿宋_GB2312" w:eastAsia="仿宋_GB2312"/>
          <w:sz w:val="32"/>
          <w:szCs w:val="32"/>
          <w:lang w:val="zh-CN"/>
        </w:rPr>
        <w:t>122.90</w:t>
      </w:r>
      <w:r>
        <w:rPr>
          <w:rFonts w:hint="eastAsia" w:ascii="仿宋_GB2312" w:eastAsia="仿宋_GB2312"/>
          <w:sz w:val="32"/>
          <w:szCs w:val="32"/>
        </w:rPr>
        <w:t>万元，预决算差异率</w:t>
      </w:r>
      <w:r>
        <w:rPr>
          <w:rFonts w:hint="eastAsia" w:ascii="仿宋_GB2312" w:eastAsia="仿宋_GB2312"/>
          <w:sz w:val="32"/>
          <w:szCs w:val="32"/>
          <w:lang w:val="zh-CN"/>
        </w:rPr>
        <w:t>9.60%</w:t>
      </w:r>
      <w:r>
        <w:rPr>
          <w:rFonts w:hint="eastAsia" w:ascii="仿宋_GB2312" w:eastAsia="仿宋_GB2312"/>
          <w:sz w:val="32"/>
          <w:szCs w:val="32"/>
        </w:rPr>
        <w:t>，主要原因是：人员政策性调资</w:t>
      </w:r>
      <w:r>
        <w:rPr>
          <w:rFonts w:hint="eastAsia" w:ascii="仿宋_GB2312" w:eastAsia="仿宋_GB2312"/>
          <w:sz w:val="32"/>
          <w:szCs w:val="32"/>
          <w:lang w:eastAsia="zh-CN"/>
        </w:rPr>
        <w:t>增加</w:t>
      </w:r>
      <w:r>
        <w:rPr>
          <w:rFonts w:hint="eastAsia" w:ascii="仿宋_GB2312" w:eastAsia="仿宋_GB2312"/>
          <w:sz w:val="32"/>
          <w:szCs w:val="32"/>
        </w:rPr>
        <w:t>，社保基数有所增加，项目资金下达数有所增大。</w:t>
      </w:r>
    </w:p>
    <w:p w14:paraId="0E4F6685">
      <w:pPr>
        <w:keepNext w:val="0"/>
        <w:keepLines w:val="0"/>
        <w:pageBreakBefore w:val="0"/>
        <w:numPr>
          <w:ilvl w:val="0"/>
          <w:numId w:val="1"/>
        </w:numPr>
        <w:kinsoku/>
        <w:wordWrap/>
        <w:overflowPunct/>
        <w:topLinePunct w:val="0"/>
        <w:autoSpaceDE/>
        <w:autoSpaceDN/>
        <w:bidi w:val="0"/>
        <w:adjustRightInd/>
        <w:snapToGrid/>
        <w:spacing w:line="600" w:lineRule="exact"/>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38A64C26">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9.53</w:t>
      </w:r>
      <w:r>
        <w:rPr>
          <w:rFonts w:ascii="仿宋_GB2312" w:eastAsia="仿宋_GB2312"/>
          <w:kern w:val="2"/>
          <w:sz w:val="32"/>
          <w:szCs w:val="32"/>
          <w:lang w:val="zh-CN"/>
        </w:rPr>
        <w:t>万元，占</w:t>
      </w:r>
      <w:r>
        <w:rPr>
          <w:rFonts w:hint="eastAsia" w:ascii="仿宋_GB2312" w:eastAsia="仿宋_GB2312"/>
          <w:kern w:val="2"/>
          <w:sz w:val="32"/>
          <w:szCs w:val="32"/>
          <w:lang w:val="zh-CN"/>
        </w:rPr>
        <w:t>7.75</w:t>
      </w:r>
      <w:r>
        <w:rPr>
          <w:rFonts w:ascii="仿宋_GB2312" w:eastAsia="仿宋_GB2312"/>
          <w:kern w:val="2"/>
          <w:sz w:val="32"/>
          <w:szCs w:val="32"/>
          <w:lang w:val="zh-CN"/>
        </w:rPr>
        <w:t>%；</w:t>
      </w:r>
    </w:p>
    <w:p w14:paraId="71372F4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4.22</w:t>
      </w:r>
      <w:r>
        <w:rPr>
          <w:rFonts w:ascii="仿宋_GB2312" w:eastAsia="仿宋_GB2312"/>
          <w:kern w:val="2"/>
          <w:sz w:val="32"/>
          <w:szCs w:val="32"/>
          <w:lang w:val="zh-CN"/>
        </w:rPr>
        <w:t>万元，占</w:t>
      </w:r>
      <w:r>
        <w:rPr>
          <w:rFonts w:hint="eastAsia" w:ascii="仿宋_GB2312" w:eastAsia="仿宋_GB2312"/>
          <w:kern w:val="2"/>
          <w:sz w:val="32"/>
          <w:szCs w:val="32"/>
          <w:lang w:val="zh-CN"/>
        </w:rPr>
        <w:t>3.43</w:t>
      </w:r>
      <w:r>
        <w:rPr>
          <w:rFonts w:ascii="仿宋_GB2312" w:eastAsia="仿宋_GB2312"/>
          <w:kern w:val="2"/>
          <w:sz w:val="32"/>
          <w:szCs w:val="32"/>
          <w:lang w:val="zh-CN"/>
        </w:rPr>
        <w:t>%；</w:t>
      </w:r>
    </w:p>
    <w:p w14:paraId="38782E67">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101.73</w:t>
      </w:r>
      <w:r>
        <w:rPr>
          <w:rFonts w:ascii="仿宋_GB2312" w:eastAsia="仿宋_GB2312"/>
          <w:kern w:val="2"/>
          <w:sz w:val="32"/>
          <w:szCs w:val="32"/>
          <w:lang w:val="zh-CN"/>
        </w:rPr>
        <w:t>万元，占</w:t>
      </w:r>
      <w:r>
        <w:rPr>
          <w:rFonts w:hint="eastAsia" w:ascii="仿宋_GB2312" w:eastAsia="仿宋_GB2312"/>
          <w:kern w:val="2"/>
          <w:sz w:val="32"/>
          <w:szCs w:val="32"/>
          <w:lang w:val="zh-CN"/>
        </w:rPr>
        <w:t>82.7</w:t>
      </w:r>
      <w:r>
        <w:rPr>
          <w:rFonts w:hint="eastAsia" w:ascii="仿宋_GB2312" w:eastAsia="仿宋_GB2312"/>
          <w:kern w:val="2"/>
          <w:sz w:val="32"/>
          <w:szCs w:val="32"/>
          <w:lang w:val="en-US" w:eastAsia="zh-CN"/>
        </w:rPr>
        <w:t>8</w:t>
      </w:r>
      <w:r>
        <w:rPr>
          <w:rFonts w:ascii="仿宋_GB2312" w:eastAsia="仿宋_GB2312"/>
          <w:kern w:val="2"/>
          <w:sz w:val="32"/>
          <w:szCs w:val="32"/>
          <w:lang w:val="zh-CN"/>
        </w:rPr>
        <w:t>%；</w:t>
      </w:r>
    </w:p>
    <w:p w14:paraId="734954D9">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7.43</w:t>
      </w:r>
      <w:r>
        <w:rPr>
          <w:rFonts w:ascii="仿宋_GB2312" w:eastAsia="仿宋_GB2312"/>
          <w:kern w:val="2"/>
          <w:sz w:val="32"/>
          <w:szCs w:val="32"/>
          <w:lang w:val="zh-CN"/>
        </w:rPr>
        <w:t>万元，占</w:t>
      </w:r>
      <w:r>
        <w:rPr>
          <w:rFonts w:hint="eastAsia" w:ascii="仿宋_GB2312" w:eastAsia="仿宋_GB2312"/>
          <w:kern w:val="2"/>
          <w:sz w:val="32"/>
          <w:szCs w:val="32"/>
          <w:lang w:val="zh-CN"/>
        </w:rPr>
        <w:t>6.04</w:t>
      </w:r>
      <w:r>
        <w:rPr>
          <w:rFonts w:ascii="仿宋_GB2312" w:eastAsia="仿宋_GB2312"/>
          <w:kern w:val="2"/>
          <w:sz w:val="32"/>
          <w:szCs w:val="32"/>
          <w:lang w:val="zh-CN"/>
        </w:rPr>
        <w:t>%；</w:t>
      </w:r>
    </w:p>
    <w:p w14:paraId="37610805">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77CA949C">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sz w:val="32"/>
          <w:szCs w:val="32"/>
          <w:lang w:val="zh-CN"/>
        </w:rPr>
      </w:pPr>
      <w:r>
        <w:rPr>
          <w:rFonts w:hint="eastAsia" w:eastAsia="仿宋_GB2312"/>
          <w:sz w:val="32"/>
          <w:szCs w:val="32"/>
        </w:rPr>
        <w:t>1.卫生健康支出（类）行政事业单位医疗（款）事业单位医疗（项）:支出</w:t>
      </w:r>
      <w:r>
        <w:rPr>
          <w:rFonts w:hint="eastAsia" w:ascii="仿宋_GB2312" w:hAnsi="仿宋_GB2312" w:eastAsia="仿宋_GB2312" w:cs="仿宋_GB2312"/>
          <w:sz w:val="32"/>
          <w:szCs w:val="32"/>
        </w:rPr>
        <w:t>决算数为4.22万元，比上年决算增加0.17万元，增长4.</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%，主</w:t>
      </w:r>
      <w:r>
        <w:rPr>
          <w:rFonts w:hint="eastAsia" w:eastAsia="仿宋_GB2312"/>
          <w:sz w:val="32"/>
          <w:szCs w:val="32"/>
        </w:rPr>
        <w:t>要原因是：</w:t>
      </w:r>
      <w:r>
        <w:rPr>
          <w:rFonts w:hint="eastAsia" w:eastAsia="仿宋_GB2312"/>
          <w:sz w:val="32"/>
          <w:szCs w:val="32"/>
          <w:lang w:val="zh-CN"/>
        </w:rPr>
        <w:t>人员政策性调资</w:t>
      </w:r>
      <w:r>
        <w:rPr>
          <w:rFonts w:hint="eastAsia" w:ascii="仿宋_GB2312" w:eastAsia="仿宋_GB2312"/>
          <w:sz w:val="32"/>
          <w:szCs w:val="32"/>
          <w:lang w:eastAsia="zh-CN"/>
        </w:rPr>
        <w:t>增加</w:t>
      </w:r>
      <w:r>
        <w:rPr>
          <w:rFonts w:hint="eastAsia" w:eastAsia="仿宋_GB2312"/>
          <w:sz w:val="32"/>
          <w:szCs w:val="32"/>
          <w:lang w:val="zh-CN"/>
        </w:rPr>
        <w:t>，社保基数有所增加。</w:t>
      </w:r>
    </w:p>
    <w:p w14:paraId="12DE901F">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sz w:val="32"/>
          <w:szCs w:val="32"/>
          <w:lang w:val="zh-CN"/>
        </w:rPr>
      </w:pPr>
      <w:r>
        <w:rPr>
          <w:rFonts w:hint="eastAsia" w:eastAsia="仿宋_GB2312"/>
          <w:sz w:val="32"/>
          <w:szCs w:val="32"/>
        </w:rPr>
        <w:t>2.农林水支出（类）农业农村（款）事业运行（项）:支出决</w:t>
      </w:r>
      <w:r>
        <w:rPr>
          <w:rFonts w:hint="eastAsia" w:ascii="仿宋_GB2312" w:hAnsi="仿宋_GB2312" w:eastAsia="仿宋_GB2312" w:cs="仿宋_GB2312"/>
          <w:sz w:val="32"/>
          <w:szCs w:val="32"/>
        </w:rPr>
        <w:t>算数为81.64万元，比上年决算增加8.5</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万元，增长11.7</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%，主要</w:t>
      </w:r>
      <w:r>
        <w:rPr>
          <w:rFonts w:hint="eastAsia" w:eastAsia="仿宋_GB2312"/>
          <w:sz w:val="32"/>
          <w:szCs w:val="32"/>
        </w:rPr>
        <w:t>原因是：</w:t>
      </w:r>
      <w:r>
        <w:rPr>
          <w:rFonts w:hint="eastAsia" w:eastAsia="仿宋_GB2312"/>
          <w:sz w:val="32"/>
          <w:szCs w:val="32"/>
          <w:lang w:val="zh-CN"/>
        </w:rPr>
        <w:t>人员政策性调资</w:t>
      </w:r>
      <w:r>
        <w:rPr>
          <w:rFonts w:hint="eastAsia" w:ascii="仿宋_GB2312" w:eastAsia="仿宋_GB2312"/>
          <w:sz w:val="32"/>
          <w:szCs w:val="32"/>
          <w:lang w:eastAsia="zh-CN"/>
        </w:rPr>
        <w:t>增加</w:t>
      </w:r>
      <w:r>
        <w:rPr>
          <w:rFonts w:hint="eastAsia" w:eastAsia="仿宋_GB2312"/>
          <w:sz w:val="32"/>
          <w:szCs w:val="32"/>
          <w:lang w:val="zh-CN"/>
        </w:rPr>
        <w:t>，社保基数有所增加。</w:t>
      </w:r>
    </w:p>
    <w:p w14:paraId="6AFAA10D">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sz w:val="32"/>
          <w:szCs w:val="32"/>
          <w:lang w:val="zh-CN"/>
        </w:rPr>
      </w:pPr>
      <w:r>
        <w:rPr>
          <w:rFonts w:hint="eastAsia" w:eastAsia="仿宋_GB2312"/>
          <w:sz w:val="32"/>
          <w:szCs w:val="32"/>
        </w:rPr>
        <w:t>3.</w:t>
      </w:r>
      <w:r>
        <w:rPr>
          <w:rFonts w:hint="eastAsia" w:ascii="仿宋_GB2312" w:hAnsi="仿宋_GB2312" w:eastAsia="仿宋_GB2312" w:cs="仿宋_GB2312"/>
          <w:sz w:val="32"/>
          <w:szCs w:val="32"/>
        </w:rPr>
        <w:t>住房保障支出（类）住房改革支出（款）住房公积金（项）:支出决算数为7.43万元，比上年决算增加0.76万元，增长</w:t>
      </w:r>
      <w:r>
        <w:rPr>
          <w:rFonts w:hint="eastAsia" w:ascii="仿宋_GB2312" w:hAnsi="仿宋_GB2312" w:eastAsia="仿宋_GB2312" w:cs="仿宋_GB2312"/>
          <w:sz w:val="32"/>
          <w:szCs w:val="32"/>
          <w:lang w:val="en-US" w:eastAsia="zh-CN"/>
        </w:rPr>
        <w:t>12.39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人员政策性调资</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zh-CN"/>
        </w:rPr>
        <w:t>，社保基数有所增加。</w:t>
      </w:r>
    </w:p>
    <w:p w14:paraId="0969C352">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sz w:val="32"/>
          <w:szCs w:val="32"/>
          <w:lang w:val="zh-CN"/>
        </w:rPr>
      </w:pPr>
      <w:r>
        <w:rPr>
          <w:rFonts w:hint="eastAsia" w:eastAsia="仿宋_GB2312"/>
          <w:sz w:val="32"/>
          <w:szCs w:val="32"/>
        </w:rPr>
        <w:t>4.社会保障和就业支出（类）行政事业单位养老支出（款）机关事业单位基本养老保险缴费支出（项）:支出决算数为</w:t>
      </w:r>
      <w:r>
        <w:rPr>
          <w:rFonts w:hint="eastAsia" w:ascii="仿宋_GB2312" w:hAnsi="仿宋_GB2312" w:eastAsia="仿宋_GB2312" w:cs="仿宋_GB2312"/>
          <w:sz w:val="32"/>
          <w:szCs w:val="32"/>
        </w:rPr>
        <w:t>9.53万元，比上年决算增加1.60万元，增长</w:t>
      </w:r>
      <w:r>
        <w:rPr>
          <w:rFonts w:hint="eastAsia" w:ascii="仿宋_GB2312" w:hAnsi="仿宋_GB2312" w:eastAsia="仿宋_GB2312" w:cs="仿宋_GB2312"/>
          <w:sz w:val="32"/>
          <w:szCs w:val="32"/>
          <w:lang w:val="en-US" w:eastAsia="zh-CN"/>
        </w:rPr>
        <w:t>20.18`</w:t>
      </w:r>
      <w:r>
        <w:rPr>
          <w:rFonts w:hint="eastAsia" w:ascii="仿宋_GB2312" w:hAnsi="仿宋_GB2312" w:eastAsia="仿宋_GB2312" w:cs="仿宋_GB2312"/>
          <w:sz w:val="32"/>
          <w:szCs w:val="32"/>
        </w:rPr>
        <w:t>%，</w:t>
      </w:r>
      <w:r>
        <w:rPr>
          <w:rFonts w:hint="eastAsia" w:eastAsia="仿宋_GB2312"/>
          <w:sz w:val="32"/>
          <w:szCs w:val="32"/>
        </w:rPr>
        <w:t>主要原因是：</w:t>
      </w:r>
      <w:r>
        <w:rPr>
          <w:rFonts w:hint="eastAsia" w:eastAsia="仿宋_GB2312"/>
          <w:sz w:val="32"/>
          <w:szCs w:val="32"/>
          <w:lang w:val="zh-CN"/>
        </w:rPr>
        <w:t>人员政策性调资</w:t>
      </w:r>
      <w:r>
        <w:rPr>
          <w:rFonts w:hint="eastAsia" w:ascii="仿宋_GB2312" w:eastAsia="仿宋_GB2312"/>
          <w:sz w:val="32"/>
          <w:szCs w:val="32"/>
          <w:lang w:eastAsia="zh-CN"/>
        </w:rPr>
        <w:t>增加</w:t>
      </w:r>
      <w:r>
        <w:rPr>
          <w:rFonts w:hint="eastAsia" w:eastAsia="仿宋_GB2312"/>
          <w:sz w:val="32"/>
          <w:szCs w:val="32"/>
          <w:lang w:val="zh-CN"/>
        </w:rPr>
        <w:t>，社保基数有所增加。</w:t>
      </w:r>
    </w:p>
    <w:p w14:paraId="7A1D8A01">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eastAsia="仿宋_GB2312"/>
          <w:sz w:val="32"/>
          <w:szCs w:val="32"/>
          <w:lang w:val="zh-CN"/>
        </w:rPr>
      </w:pPr>
      <w:r>
        <w:rPr>
          <w:rFonts w:hint="eastAsia" w:eastAsia="仿宋_GB2312"/>
          <w:sz w:val="32"/>
          <w:szCs w:val="32"/>
        </w:rPr>
        <w:t>5.农林水支出（类）农业农村（款）其他农业农村支出（项）:支出决算数为</w:t>
      </w:r>
      <w:r>
        <w:rPr>
          <w:rFonts w:hint="eastAsia" w:ascii="仿宋_GB2312" w:hAnsi="仿宋_GB2312" w:eastAsia="仿宋_GB2312" w:cs="仿宋_GB2312"/>
          <w:sz w:val="32"/>
          <w:szCs w:val="32"/>
        </w:rPr>
        <w:t>20.08</w:t>
      </w:r>
      <w:r>
        <w:rPr>
          <w:rFonts w:hint="eastAsia" w:eastAsia="仿宋_GB2312"/>
          <w:sz w:val="32"/>
          <w:szCs w:val="32"/>
        </w:rPr>
        <w:t>万元，比上年决</w:t>
      </w:r>
      <w:r>
        <w:rPr>
          <w:rFonts w:hint="eastAsia" w:ascii="仿宋_GB2312" w:hAnsi="仿宋_GB2312" w:eastAsia="仿宋_GB2312" w:cs="仿宋_GB2312"/>
          <w:sz w:val="32"/>
          <w:szCs w:val="32"/>
        </w:rPr>
        <w:t>算增加3.9</w:t>
      </w:r>
      <w:r>
        <w:rPr>
          <w:rFonts w:hint="eastAsia" w:ascii="仿宋_GB2312" w:hAnsi="仿宋_GB2312" w:eastAsia="仿宋_GB2312" w:cs="仿宋_GB2312"/>
          <w:sz w:val="32"/>
          <w:szCs w:val="32"/>
          <w:lang w:val="en-US" w:eastAsia="zh-CN"/>
        </w:rPr>
        <w:t>7</w:t>
      </w:r>
      <w:r>
        <w:rPr>
          <w:rFonts w:hint="eastAsia" w:eastAsia="仿宋_GB2312"/>
          <w:sz w:val="32"/>
          <w:szCs w:val="32"/>
        </w:rPr>
        <w:t>万元，增长</w:t>
      </w:r>
      <w:r>
        <w:rPr>
          <w:rFonts w:hint="eastAsia" w:ascii="仿宋_GB2312" w:hAnsi="仿宋_GB2312" w:eastAsia="仿宋_GB2312" w:cs="仿宋_GB2312"/>
          <w:sz w:val="32"/>
          <w:szCs w:val="32"/>
          <w:lang w:val="en-US" w:eastAsia="zh-CN"/>
        </w:rPr>
        <w:t>24.64</w:t>
      </w:r>
      <w:bookmarkStart w:id="48" w:name="_GoBack"/>
      <w:bookmarkEnd w:id="48"/>
      <w:r>
        <w:rPr>
          <w:rFonts w:hint="eastAsia" w:ascii="仿宋_GB2312" w:hAnsi="仿宋_GB2312" w:eastAsia="仿宋_GB2312" w:cs="仿宋_GB2312"/>
          <w:sz w:val="32"/>
          <w:szCs w:val="32"/>
        </w:rPr>
        <w:t>%，主</w:t>
      </w:r>
      <w:r>
        <w:rPr>
          <w:rFonts w:hint="eastAsia" w:eastAsia="仿宋_GB2312"/>
          <w:sz w:val="32"/>
          <w:szCs w:val="32"/>
        </w:rPr>
        <w:t>要原因是：</w:t>
      </w:r>
      <w:r>
        <w:rPr>
          <w:rFonts w:hint="eastAsia" w:eastAsia="仿宋_GB2312"/>
          <w:sz w:val="32"/>
          <w:szCs w:val="32"/>
          <w:lang w:val="zh-CN"/>
        </w:rPr>
        <w:t>本年项目下达及支付数较上年有所增大。</w:t>
      </w:r>
    </w:p>
    <w:p w14:paraId="5F07AEC9">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1366B41">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2023年度一般公共预算财政拨款基本支出102.82万元，其中：</w:t>
      </w:r>
      <w:r>
        <w:rPr>
          <w:rFonts w:hint="eastAsia" w:ascii="仿宋_GB2312" w:eastAsia="仿宋_GB2312"/>
          <w:b/>
          <w:bCs/>
          <w:sz w:val="32"/>
          <w:szCs w:val="32"/>
        </w:rPr>
        <w:t>人员经费98.83万元，</w:t>
      </w:r>
      <w:r>
        <w:rPr>
          <w:rFonts w:hint="eastAsia" w:ascii="仿宋_GB2312" w:eastAsia="仿宋_GB2312"/>
          <w:sz w:val="32"/>
          <w:szCs w:val="32"/>
        </w:rPr>
        <w:t>包括：基本工资、津贴补贴、奖金、绩效工资、机关事业单位基本养老保险缴费、职工基本医疗保险缴费、其他社会保障缴费、住房公积金。</w:t>
      </w:r>
    </w:p>
    <w:p w14:paraId="78966425">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公用经费3.99万元，</w:t>
      </w:r>
      <w:r>
        <w:rPr>
          <w:rFonts w:hint="eastAsia" w:ascii="仿宋_GB2312" w:eastAsia="仿宋_GB2312"/>
          <w:sz w:val="32"/>
          <w:szCs w:val="32"/>
        </w:rPr>
        <w:t>包括：办公费、邮电费、取暖费、差旅费、劳务费、工会经费。</w:t>
      </w:r>
    </w:p>
    <w:p w14:paraId="784EB5DD">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CD7CCF0">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增加0.00万元，增长0.00%，主要原因是：本单位没有发生此业务。其中：因公出国（境）费支出0.00万元，占0.00%，比上年增加0.00万元，增长0.00%，主要原因是：本单位没有发生此业务；</w:t>
      </w:r>
      <w:r>
        <w:rPr>
          <w:rFonts w:hint="eastAsia" w:ascii="仿宋_GB2312" w:hAnsi="仿宋_GB2312" w:eastAsia="仿宋_GB2312" w:cs="仿宋_GB2312"/>
          <w:sz w:val="32"/>
          <w:szCs w:val="32"/>
          <w:lang w:val="zh-CN"/>
        </w:rPr>
        <w:t>公务</w:t>
      </w:r>
      <w:r>
        <w:rPr>
          <w:rFonts w:hint="eastAsia" w:ascii="仿宋_GB2312" w:eastAsia="仿宋_GB2312"/>
          <w:sz w:val="32"/>
          <w:szCs w:val="32"/>
          <w:lang w:val="zh-CN"/>
        </w:rPr>
        <w:t>用车购置及运行维护费支出0.00万元，占0.00%，比上年增加0.00万元，增长0.00%，主要原因是：本单位没有发生此业务；公务接待费支出0.00万元，占0.00%，比上年增加0.00万元，增长0.00%，主要原因是：本单位没有发生此业务。</w:t>
      </w:r>
    </w:p>
    <w:p w14:paraId="6BF8A6C3">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b/>
          <w:bCs/>
          <w:sz w:val="32"/>
          <w:szCs w:val="32"/>
          <w:lang w:val="zh-CN"/>
        </w:rPr>
      </w:pPr>
      <w:r>
        <w:rPr>
          <w:rFonts w:hint="eastAsia" w:ascii="仿宋_GB2312" w:eastAsia="仿宋_GB2312"/>
          <w:b/>
          <w:bCs/>
          <w:sz w:val="32"/>
          <w:szCs w:val="32"/>
          <w:lang w:val="zh-CN"/>
        </w:rPr>
        <w:t>具体情况如下：</w:t>
      </w:r>
    </w:p>
    <w:p w14:paraId="1AB958F5">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lang w:val="zh-CN"/>
        </w:rPr>
      </w:pPr>
      <w:r>
        <w:rPr>
          <w:rFonts w:hint="eastAsia" w:ascii="仿宋_GB2312" w:eastAsia="仿宋_GB2312"/>
          <w:sz w:val="32"/>
          <w:szCs w:val="32"/>
          <w:lang w:val="zh-CN"/>
        </w:rPr>
        <w:t>因公出国（境）费支出0.00万元，</w:t>
      </w:r>
      <w:r>
        <w:rPr>
          <w:rFonts w:hint="eastAsia" w:ascii="仿宋_GB2312" w:eastAsia="仿宋_GB2312"/>
          <w:sz w:val="32"/>
          <w:szCs w:val="32"/>
          <w:lang w:val="en-US" w:eastAsia="zh-CN"/>
        </w:rPr>
        <w:t>无此项开支内容</w:t>
      </w:r>
      <w:r>
        <w:rPr>
          <w:rFonts w:hint="eastAsia" w:ascii="仿宋_GB2312" w:eastAsia="仿宋_GB2312"/>
          <w:sz w:val="32"/>
          <w:szCs w:val="32"/>
          <w:lang w:val="zh-CN"/>
        </w:rPr>
        <w:t>。单位全年安排的因公出国（境）团组0个，因公出国（境）0人次。</w:t>
      </w:r>
    </w:p>
    <w:p w14:paraId="1ECB3CC2">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单位没有公务用车。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原因是：本单位没有公务用车。</w:t>
      </w:r>
    </w:p>
    <w:p w14:paraId="25C74887">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lang w:val="zh-CN"/>
        </w:rPr>
      </w:pPr>
      <w:r>
        <w:rPr>
          <w:rFonts w:hint="eastAsia" w:ascii="仿宋_GB2312" w:eastAsia="仿宋_GB2312"/>
          <w:sz w:val="32"/>
          <w:szCs w:val="32"/>
          <w:lang w:val="zh-CN"/>
        </w:rPr>
        <w:t>公务接待费0.00万元，开支内容包括本单位没有发生此业务。单位全年安排的国内公务接待0批次，0人次。</w:t>
      </w:r>
    </w:p>
    <w:p w14:paraId="775851EA">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预算数0.00万元，决算数0.00万元，预决算差异率0.00%，主要原因是：本单位没有发生此业务</w:t>
      </w:r>
      <w:r>
        <w:rPr>
          <w:rFonts w:hint="eastAsia" w:ascii="仿宋_GB2312" w:eastAsia="仿宋_GB2312"/>
          <w:sz w:val="32"/>
          <w:szCs w:val="32"/>
          <w:lang w:val="en-US" w:eastAsia="zh-CN"/>
        </w:rPr>
        <w:t>,</w:t>
      </w:r>
      <w:r>
        <w:rPr>
          <w:rFonts w:hint="eastAsia" w:ascii="Times New Roman" w:hAnsi="Times New Roman" w:eastAsia="仿宋_GB2312"/>
          <w:sz w:val="32"/>
          <w:szCs w:val="32"/>
          <w:highlight w:val="none"/>
        </w:rPr>
        <w:t>预决算无差异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0.00万元，决算数0.00万元，预决算差异率0.00%，主要原因是：本单位没有发生此业务</w:t>
      </w:r>
      <w:r>
        <w:rPr>
          <w:rFonts w:hint="eastAsia" w:ascii="仿宋_GB2312" w:eastAsia="仿宋_GB2312"/>
          <w:sz w:val="32"/>
          <w:szCs w:val="32"/>
          <w:lang w:val="en-US" w:eastAsia="zh-CN"/>
        </w:rPr>
        <w:t>,</w:t>
      </w:r>
      <w:r>
        <w:rPr>
          <w:rFonts w:hint="eastAsia" w:ascii="Times New Roman" w:hAnsi="Times New Roman" w:eastAsia="仿宋_GB2312"/>
          <w:sz w:val="32"/>
          <w:szCs w:val="32"/>
          <w:highlight w:val="none"/>
        </w:rPr>
        <w:t>预决算无差异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预算数0.00万元，决算数0.00万元，预决算差异率0.00%，主要原因是：本单位没有发生此业务</w:t>
      </w:r>
      <w:r>
        <w:rPr>
          <w:rFonts w:hint="eastAsia" w:ascii="仿宋_GB2312" w:eastAsia="仿宋_GB2312"/>
          <w:sz w:val="32"/>
          <w:szCs w:val="32"/>
          <w:lang w:val="en-US" w:eastAsia="zh-CN"/>
        </w:rPr>
        <w:t>,</w:t>
      </w:r>
      <w:r>
        <w:rPr>
          <w:rFonts w:hint="eastAsia" w:ascii="Times New Roman" w:hAnsi="Times New Roman" w:eastAsia="仿宋_GB2312"/>
          <w:sz w:val="32"/>
          <w:szCs w:val="32"/>
          <w:highlight w:val="none"/>
        </w:rPr>
        <w:t>预决算无差异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预算数0.00万元，决算数0.00万元，预决算差异率0.00%，主要原因是：本单位没有发生此业务</w:t>
      </w:r>
      <w:r>
        <w:rPr>
          <w:rFonts w:hint="eastAsia" w:ascii="仿宋_GB2312" w:eastAsia="仿宋_GB2312"/>
          <w:sz w:val="32"/>
          <w:szCs w:val="32"/>
          <w:lang w:val="en-US" w:eastAsia="zh-CN"/>
        </w:rPr>
        <w:t>,</w:t>
      </w:r>
      <w:r>
        <w:rPr>
          <w:rFonts w:hint="eastAsia" w:ascii="Times New Roman" w:hAnsi="Times New Roman" w:eastAsia="仿宋_GB2312"/>
          <w:sz w:val="32"/>
          <w:szCs w:val="32"/>
          <w:highlight w:val="none"/>
        </w:rPr>
        <w:t>预决算无差异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预算数0.00万元，决算数0.00万元，预决算差异率0.00%，主要原因是：本单位没有发生此业务</w:t>
      </w:r>
      <w:r>
        <w:rPr>
          <w:rFonts w:hint="eastAsia" w:ascii="仿宋_GB2312" w:eastAsia="仿宋_GB2312"/>
          <w:sz w:val="32"/>
          <w:szCs w:val="32"/>
          <w:lang w:val="en-US" w:eastAsia="zh-CN"/>
        </w:rPr>
        <w:t>,</w:t>
      </w:r>
      <w:r>
        <w:rPr>
          <w:rFonts w:hint="eastAsia" w:ascii="Times New Roman" w:hAnsi="Times New Roman" w:eastAsia="仿宋_GB2312"/>
          <w:sz w:val="32"/>
          <w:szCs w:val="32"/>
          <w:highlight w:val="none"/>
        </w:rPr>
        <w:t>预决算无差异</w:t>
      </w:r>
      <w:r>
        <w:rPr>
          <w:rFonts w:hint="eastAsia" w:ascii="仿宋_GB2312" w:eastAsia="仿宋_GB2312"/>
          <w:sz w:val="32"/>
          <w:szCs w:val="32"/>
          <w:lang w:val="zh-CN"/>
        </w:rPr>
        <w:t>。</w:t>
      </w:r>
    </w:p>
    <w:p w14:paraId="51139F1F">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5FA52F2">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2594DA">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7E34143">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83B4118">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7A6DA3BA">
      <w:pPr>
        <w:keepNext w:val="0"/>
        <w:keepLines w:val="0"/>
        <w:pageBreakBefore w:val="0"/>
        <w:kinsoku/>
        <w:wordWrap/>
        <w:overflowPunct/>
        <w:topLinePunct w:val="0"/>
        <w:bidi w:val="0"/>
        <w:adjustRightInd/>
        <w:snapToGrid/>
        <w:ind w:firstLine="640" w:firstLineChars="200"/>
        <w:jc w:val="both"/>
        <w:textAlignment w:val="auto"/>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917EC1C">
      <w:pPr>
        <w:keepNext w:val="0"/>
        <w:keepLines w:val="0"/>
        <w:pageBreakBefore w:val="0"/>
        <w:kinsoku/>
        <w:wordWrap/>
        <w:overflowPunct/>
        <w:topLinePunct w:val="0"/>
        <w:bidi w:val="0"/>
        <w:adjustRightInd/>
        <w:snapToGrid/>
        <w:ind w:firstLine="640" w:firstLineChars="200"/>
        <w:jc w:val="both"/>
        <w:textAlignment w:val="auto"/>
        <w:rPr>
          <w:rFonts w:eastAsia="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裕民县巴什拜种羊基地建设中心</w:t>
      </w:r>
      <w:r>
        <w:rPr>
          <w:rFonts w:hint="eastAsia" w:ascii="仿宋_GB2312" w:hAnsi="仿宋_GB2312" w:eastAsia="仿宋_GB2312" w:cs="仿宋_GB2312"/>
          <w:sz w:val="32"/>
          <w:szCs w:val="32"/>
          <w:lang w:val="zh-CN"/>
        </w:rPr>
        <w:t>（事业单位）公用经费支出3.99万元，比上年增加0.66万元，增长19.81%，</w:t>
      </w:r>
      <w:r>
        <w:rPr>
          <w:rFonts w:hint="eastAsia" w:eastAsia="仿宋_GB2312"/>
          <w:sz w:val="32"/>
          <w:szCs w:val="32"/>
          <w:lang w:val="zh-CN"/>
        </w:rPr>
        <w:t>主要原因是：人员工资增加导致工会经费有所增大。</w:t>
      </w:r>
    </w:p>
    <w:p w14:paraId="53DE6E3D">
      <w:pPr>
        <w:keepNext w:val="0"/>
        <w:keepLines w:val="0"/>
        <w:pageBreakBefore w:val="0"/>
        <w:kinsoku/>
        <w:wordWrap/>
        <w:overflowPunct/>
        <w:topLinePunct w:val="0"/>
        <w:bidi w:val="0"/>
        <w:adjustRightInd/>
        <w:snapToGrid/>
        <w:ind w:firstLine="640" w:firstLineChars="200"/>
        <w:jc w:val="both"/>
        <w:textAlignment w:val="auto"/>
        <w:outlineLvl w:val="2"/>
        <w:rPr>
          <w:rFonts w:eastAsia="黑体"/>
          <w:sz w:val="32"/>
          <w:szCs w:val="30"/>
          <w:lang w:val="zh-CN"/>
        </w:rPr>
      </w:pPr>
      <w:r>
        <w:rPr>
          <w:rFonts w:hint="eastAsia" w:eastAsia="黑体"/>
          <w:sz w:val="32"/>
          <w:szCs w:val="30"/>
          <w:lang w:val="zh-CN"/>
        </w:rPr>
        <w:t>（二）政府采购情况</w:t>
      </w:r>
      <w:bookmarkEnd w:id="24"/>
      <w:bookmarkEnd w:id="25"/>
    </w:p>
    <w:p w14:paraId="040098B5">
      <w:pPr>
        <w:keepNext w:val="0"/>
        <w:keepLines w:val="0"/>
        <w:pageBreakBefore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79E2EF9C">
      <w:pPr>
        <w:keepNext w:val="0"/>
        <w:keepLines w:val="0"/>
        <w:pageBreakBefore w:val="0"/>
        <w:kinsoku/>
        <w:wordWrap/>
        <w:overflowPunct/>
        <w:topLinePunct w:val="0"/>
        <w:bidi w:val="0"/>
        <w:adjustRightInd/>
        <w:snapToGrid/>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828BA8D">
      <w:pPr>
        <w:keepNext w:val="0"/>
        <w:keepLines w:val="0"/>
        <w:pageBreakBefore w:val="0"/>
        <w:kinsoku/>
        <w:wordWrap/>
        <w:overflowPunct/>
        <w:topLinePunct w:val="0"/>
        <w:bidi w:val="0"/>
        <w:adjustRightInd/>
        <w:snapToGrid/>
        <w:ind w:firstLine="640" w:firstLineChars="200"/>
        <w:jc w:val="both"/>
        <w:textAlignment w:val="auto"/>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88D4017">
      <w:pPr>
        <w:keepNext w:val="0"/>
        <w:keepLines w:val="0"/>
        <w:pageBreakBefore w:val="0"/>
        <w:kinsoku/>
        <w:wordWrap/>
        <w:overflowPunct/>
        <w:topLinePunct w:val="0"/>
        <w:bidi w:val="0"/>
        <w:adjustRightInd/>
        <w:snapToGrid/>
        <w:ind w:firstLine="640" w:firstLineChars="200"/>
        <w:jc w:val="both"/>
        <w:textAlignment w:val="auto"/>
        <w:rPr>
          <w:rFonts w:eastAsia="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154.32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用车0辆、其他用车0辆，其他用车主要是：本单位没有公务用车；单价100万元（含）以上设备（不含车辆）0</w:t>
      </w:r>
      <w:r>
        <w:rPr>
          <w:rFonts w:hint="eastAsia" w:ascii="仿宋_GB2312" w:hAnsi="仿宋_GB2312" w:eastAsia="仿宋_GB2312" w:cs="仿宋_GB2312"/>
          <w:sz w:val="32"/>
          <w:szCs w:val="32"/>
        </w:rPr>
        <w:t>台</w:t>
      </w:r>
      <w:r>
        <w:rPr>
          <w:rFonts w:hint="eastAsia" w:eastAsia="仿宋_GB2312"/>
          <w:sz w:val="32"/>
          <w:szCs w:val="32"/>
          <w:lang w:val="zh-CN"/>
        </w:rPr>
        <w:t>。</w:t>
      </w:r>
    </w:p>
    <w:p w14:paraId="400B950D">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5B7B3806">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127.9</w:t>
      </w:r>
      <w:r>
        <w:rPr>
          <w:rFonts w:hint="eastAsia" w:ascii="仿宋_GB2312" w:eastAsia="仿宋_GB2312"/>
          <w:sz w:val="32"/>
          <w:szCs w:val="32"/>
        </w:rPr>
        <w:t>万元，实际执行总额</w:t>
      </w:r>
      <w:r>
        <w:rPr>
          <w:rFonts w:ascii="仿宋_GB2312" w:eastAsia="仿宋_GB2312"/>
          <w:sz w:val="32"/>
          <w:szCs w:val="32"/>
        </w:rPr>
        <w:t>12</w:t>
      </w:r>
      <w:r>
        <w:rPr>
          <w:rFonts w:hint="eastAsia" w:ascii="仿宋_GB2312" w:eastAsia="仿宋_GB2312"/>
          <w:sz w:val="32"/>
          <w:szCs w:val="32"/>
          <w:lang w:val="en-US" w:eastAsia="zh-CN"/>
        </w:rPr>
        <w:t>2</w:t>
      </w:r>
      <w:r>
        <w:rPr>
          <w:rFonts w:ascii="仿宋_GB2312" w:eastAsia="仿宋_GB2312"/>
          <w:sz w:val="32"/>
          <w:szCs w:val="32"/>
        </w:rPr>
        <w:t>.90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20.08万元，全年执行数20.08万元。预算绩效管理取得的成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14:paraId="5900388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5C7DEC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授予中小企业合同金额、授予小微企业合同金额为0万元原因是本单位无政府采购项目。</w:t>
      </w:r>
    </w:p>
    <w:p w14:paraId="5B0E263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8BEDBAC">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6A840E3">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AF770DE">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34A962D">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BD64E72">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93D05C9">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A0719A5">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6AA495B">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56E94F">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80E9735">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D03F624">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D7787EF">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BC4A337">
      <w:pPr>
        <w:keepNext w:val="0"/>
        <w:keepLines w:val="0"/>
        <w:pageBreakBefore w:val="0"/>
        <w:kinsoku/>
        <w:wordWrap/>
        <w:overflowPunct/>
        <w:topLinePunct w:val="0"/>
        <w:autoSpaceDE w:val="0"/>
        <w:autoSpaceDN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356E1A">
      <w:pPr>
        <w:keepNext w:val="0"/>
        <w:keepLines w:val="0"/>
        <w:pageBreakBefore w:val="0"/>
        <w:kinsoku/>
        <w:wordWrap/>
        <w:overflowPunct/>
        <w:topLinePunct w:val="0"/>
        <w:bidi w:val="0"/>
        <w:adjustRightInd/>
        <w:snapToGrid/>
        <w:ind w:firstLine="643" w:firstLineChars="200"/>
        <w:jc w:val="both"/>
        <w:textAlignment w:val="auto"/>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1B3B148">
      <w:pPr>
        <w:keepNext w:val="0"/>
        <w:keepLines w:val="0"/>
        <w:pageBreakBefore w:val="0"/>
        <w:kinsoku/>
        <w:wordWrap/>
        <w:overflowPunct/>
        <w:topLinePunct w:val="0"/>
        <w:bidi w:val="0"/>
        <w:adjustRightInd/>
        <w:snapToGrid/>
        <w:ind w:firstLine="640" w:firstLineChars="200"/>
        <w:jc w:val="center"/>
        <w:textAlignment w:val="auto"/>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F85A457">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763166B5">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147B2F78">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3B269C2F">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50A23F1D">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30CBEF6F">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36909A63">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71844580">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34C19C01">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3EEECED">
      <w:pPr>
        <w:keepNext w:val="0"/>
        <w:keepLines w:val="0"/>
        <w:pageBreakBefore w:val="0"/>
        <w:kinsoku/>
        <w:wordWrap/>
        <w:overflowPunct/>
        <w:topLinePunct w:val="0"/>
        <w:bidi w:val="0"/>
        <w:adjustRightInd/>
        <w:snapToGrid/>
        <w:ind w:firstLine="640" w:firstLineChars="200"/>
        <w:jc w:val="both"/>
        <w:textAlignment w:val="auto"/>
        <w:rPr>
          <w:rFonts w:ascii="仿宋_GB2312" w:eastAsia="仿宋_GB2312"/>
          <w:sz w:val="32"/>
          <w:szCs w:val="32"/>
        </w:rPr>
      </w:pPr>
    </w:p>
    <w:p w14:paraId="47937C42">
      <w:pPr>
        <w:keepNext w:val="0"/>
        <w:keepLines w:val="0"/>
        <w:pageBreakBefore w:val="0"/>
        <w:kinsoku/>
        <w:wordWrap/>
        <w:overflowPunct/>
        <w:topLinePunct w:val="0"/>
        <w:bidi w:val="0"/>
        <w:adjustRightInd/>
        <w:snapToGrid/>
        <w:ind w:firstLine="640" w:firstLineChars="200"/>
        <w:jc w:val="both"/>
        <w:textAlignment w:val="auto"/>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CDE14">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425450">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66425450">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D84986"/>
    <w:rsid w:val="00077F40"/>
    <w:rsid w:val="000B6245"/>
    <w:rsid w:val="001C4BAB"/>
    <w:rsid w:val="00213C59"/>
    <w:rsid w:val="003210CE"/>
    <w:rsid w:val="003346EB"/>
    <w:rsid w:val="003A6C50"/>
    <w:rsid w:val="003D38B9"/>
    <w:rsid w:val="00434488"/>
    <w:rsid w:val="00462472"/>
    <w:rsid w:val="006E3AE4"/>
    <w:rsid w:val="00B70D59"/>
    <w:rsid w:val="00D84986"/>
    <w:rsid w:val="00DE74E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D3605A"/>
    <w:rsid w:val="05EF4B48"/>
    <w:rsid w:val="05F76ECA"/>
    <w:rsid w:val="06792773"/>
    <w:rsid w:val="07093795"/>
    <w:rsid w:val="07804730"/>
    <w:rsid w:val="079052BE"/>
    <w:rsid w:val="08145C21"/>
    <w:rsid w:val="08422688"/>
    <w:rsid w:val="08502EF0"/>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C204AC"/>
    <w:rsid w:val="180059E9"/>
    <w:rsid w:val="184510FD"/>
    <w:rsid w:val="190648B0"/>
    <w:rsid w:val="19071D6C"/>
    <w:rsid w:val="19D26CD4"/>
    <w:rsid w:val="19E60D19"/>
    <w:rsid w:val="1A3E3450"/>
    <w:rsid w:val="1AD807E5"/>
    <w:rsid w:val="1B39345B"/>
    <w:rsid w:val="1B5A35C7"/>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D58C6"/>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8321B1"/>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967AFA"/>
    <w:rsid w:val="5A60780B"/>
    <w:rsid w:val="5AB34579"/>
    <w:rsid w:val="5AFC6609"/>
    <w:rsid w:val="5B0B20AA"/>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4FC4F72"/>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4870</Words>
  <Characters>5423</Characters>
  <Lines>5</Lines>
  <Paragraphs>10</Paragraphs>
  <TotalTime>6</TotalTime>
  <ScaleCrop>false</ScaleCrop>
  <LinksUpToDate>false</LinksUpToDate>
  <CharactersWithSpaces>5440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2024-08-14T12:07:00Z</dcterms:created>
  <dc:creator>GXR</dc:creator>
  <cp:lastModifiedBy>424550</cp:lastModifiedBy>
  <dcterms:modified xsi:type="dcterms:W3CDTF">2025-03-28T08:44:54Z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0A20202874F04BF5852DC259E74C491B_13</vt:lpwstr>
  </property>
  <property fmtid="{D5CDD505-2E9C-101B-9397-08002B2CF9AE}" pid="4" name="KSOTemplateDocerSaveRecord">
    <vt:lpwstr>eyJoZGlkIjoiOTBkM2UyYTEzZDM1MTJiZGUwYjAwMjlkMzQ2MDA1YTAiLCJ1c2VySWQiOiIxMTQ4MzU0NjEyIn0=</vt:lpwstr>
  </property>
</Properties>
</file>