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44"/>
          <w:szCs w:val="44"/>
        </w:rPr>
      </w:pPr>
    </w:p>
    <w:p>
      <w:pPr>
        <w:spacing w:line="600" w:lineRule="exact"/>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裕民县应急管理局</w:t>
      </w:r>
    </w:p>
    <w:p>
      <w:pPr>
        <w:spacing w:line="600" w:lineRule="exact"/>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2023年度部门决算</w:t>
      </w:r>
    </w:p>
    <w:p>
      <w:pPr>
        <w:spacing w:line="600" w:lineRule="exact"/>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公开说明</w:t>
      </w:r>
    </w:p>
    <w:p>
      <w:pPr>
        <w:spacing w:line="600" w:lineRule="exact"/>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br w:type="page"/>
      </w:r>
    </w:p>
    <w:p>
      <w:pPr>
        <w:spacing w:line="600" w:lineRule="exact"/>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spacing w:line="600" w:lineRule="exact"/>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部门概况</w:t>
      </w:r>
      <w:r>
        <w:rPr>
          <w:rFonts w:hint="eastAsia" w:ascii="仿宋_GB2312" w:hAnsi="仿宋_GB2312" w:eastAsia="仿宋_GB2312" w:cs="仿宋_GB2312"/>
          <w:b/>
          <w:bCs/>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spacing w:line="600" w:lineRule="exact"/>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pPr>
        <w:spacing w:line="600" w:lineRule="exact"/>
        <w:rPr>
          <w:rFonts w:hint="eastAsia" w:ascii="仿宋_GB2312" w:hAnsi="仿宋_GB2312" w:eastAsia="仿宋_GB2312" w:cs="仿宋_GB231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spacing w:line="600" w:lineRule="exact"/>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spacing w:line="600" w:lineRule="exact"/>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spacing w:line="600" w:lineRule="exact"/>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spacing w:line="600" w:lineRule="exact"/>
        <w:rPr>
          <w:rFonts w:hint="eastAsia" w:ascii="仿宋_GB2312" w:hAnsi="仿宋_GB2312" w:eastAsia="仿宋_GB2312" w:cs="仿宋_GB2312"/>
        </w:rPr>
      </w:pPr>
      <w:r>
        <w:rPr>
          <w:rFonts w:hint="eastAsia" w:ascii="仿宋_GB2312" w:hAnsi="仿宋_GB2312" w:eastAsia="仿宋_GB2312" w:cs="仿宋_GB2312"/>
          <w:sz w:val="32"/>
          <w:szCs w:val="32"/>
        </w:rPr>
        <w:fldChar w:fldCharType="end"/>
      </w: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spacing w:line="600" w:lineRule="exact"/>
        <w:jc w:val="center"/>
        <w:outlineLvl w:val="0"/>
        <w:rPr>
          <w:rFonts w:hint="eastAsia" w:ascii="仿宋_GB2312" w:hAnsi="仿宋_GB2312" w:eastAsia="仿宋_GB2312" w:cs="仿宋_GB2312"/>
          <w:b/>
          <w:bCs/>
          <w:sz w:val="32"/>
          <w:szCs w:val="32"/>
        </w:rPr>
      </w:pPr>
      <w:bookmarkStart w:id="0" w:name="_Toc32314"/>
      <w:bookmarkStart w:id="1" w:name="_Toc24028"/>
      <w:r>
        <w:rPr>
          <w:rFonts w:hint="eastAsia" w:ascii="仿宋_GB2312" w:hAnsi="仿宋_GB2312" w:eastAsia="仿宋_GB2312" w:cs="仿宋_GB2312"/>
          <w:b/>
          <w:bCs/>
          <w:sz w:val="32"/>
          <w:szCs w:val="32"/>
        </w:rPr>
        <w:t>第一部分 部门概况</w:t>
      </w:r>
      <w:bookmarkEnd w:id="0"/>
      <w:bookmarkEnd w:id="1"/>
    </w:p>
    <w:p>
      <w:pPr>
        <w:spacing w:line="600" w:lineRule="exact"/>
        <w:ind w:firstLine="643" w:firstLineChars="200"/>
        <w:outlineLvl w:val="1"/>
        <w:rPr>
          <w:rFonts w:hint="eastAsia" w:ascii="仿宋_GB2312" w:hAnsi="仿宋_GB2312" w:eastAsia="仿宋_GB2312" w:cs="仿宋_GB2312"/>
          <w:b/>
          <w:bCs/>
          <w:kern w:val="0"/>
          <w:sz w:val="32"/>
          <w:szCs w:val="32"/>
        </w:rPr>
      </w:pPr>
      <w:bookmarkStart w:id="2" w:name="_Toc30567"/>
      <w:bookmarkStart w:id="3" w:name="_Toc30738"/>
      <w:r>
        <w:rPr>
          <w:rFonts w:hint="eastAsia" w:ascii="仿宋_GB2312" w:hAnsi="仿宋_GB2312" w:eastAsia="仿宋_GB2312" w:cs="仿宋_GB2312"/>
          <w:b/>
          <w:bCs/>
          <w:kern w:val="0"/>
          <w:sz w:val="32"/>
          <w:szCs w:val="32"/>
        </w:rPr>
        <w:t>一、主要职能</w:t>
      </w:r>
      <w:bookmarkEnd w:id="2"/>
      <w:bookmarkEnd w:id="3"/>
    </w:p>
    <w:p>
      <w:pPr>
        <w:widowControl/>
        <w:spacing w:line="600" w:lineRule="exact"/>
        <w:ind w:firstLine="640"/>
        <w:rPr>
          <w:rFonts w:hint="eastAsia" w:ascii="仿宋_GB2312" w:hAnsi="仿宋_GB2312" w:eastAsia="仿宋_GB2312" w:cs="仿宋_GB2312"/>
          <w:bCs/>
          <w:kern w:val="0"/>
          <w:sz w:val="32"/>
          <w:szCs w:val="32"/>
        </w:rPr>
      </w:pPr>
      <w:bookmarkStart w:id="4" w:name="_Toc31238"/>
      <w:bookmarkStart w:id="5" w:name="_Toc2151"/>
      <w:r>
        <w:rPr>
          <w:rFonts w:hint="eastAsia" w:ascii="仿宋_GB2312" w:hAnsi="仿宋_GB2312" w:eastAsia="仿宋_GB2312" w:cs="仿宋_GB2312"/>
          <w:bCs/>
          <w:kern w:val="0"/>
          <w:sz w:val="32"/>
          <w:szCs w:val="32"/>
        </w:rPr>
        <w:t>（一）负责应急管理工作，指导各乡镇（场）和各部门应对安全生产类、自然灾害类突发事件和综合防灾减灾救灾工作。负责安全生产综合监督管理和工矿商贸行业安全生产监督管理工作。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（二）组织编制应急体系建设、安全生产和综合防灾减灾规划，拟订相关制度，起草应急管理、安全生产类规范性文件并监督应急管理、安全生产类综合性法规、规章、标准、规范性文件的实施。</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三）负责安全生产类、自然灾害类应急预案体系建设，建立完善事故灾难和自然灾害分级应对制度，组织编制全县总体应急预案和安全生产类、自然灾害类专项预案，综合协调应急预案衔接工作，组织开展预案演练，推动应急避难设施建设。</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（四）牵头建立统一的应急管理信息系统，负责编制和落实信息传输渠道的规划和布局，建立监测预警和灾情报告制度，健全自然灾害信息资源获取和共享机制，依法统一发布灾情。</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（五）组织指导协调安全生产类、自然灾害类突发事件应急救援，承担应对重大灾害指挥部工作，综合研判突发事件发展态势并提出应对建议，协助县委、县人民政府指定的负责同志组织重大灾害应急处置工作。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（六）统一协调指挥各类应急专业队伍，建立应急协调联动机制，推进应急指挥平台对接，衔接解放军和武警部队参与应急救援工作。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统筹应急救援力量建设，负责消防、森林和草原火灾扑救、抗洪抢险、地震和地质灾害救援、生产安全事故救援专业应急救援力量建设，管理指挥县综合性应急救援队伍，指导各乡镇（场）和各部门及社会应急救援力量建设。</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（八）负责消防管理工作，指导消防监督、火灾预防、火灾扑救等工作。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（九）指导协调森林和草原火灾、水旱灾害、地震和地质灾害防治工作，负责自然灾害综合监测预警工作，指导开展自然灾害综合风险评估工作。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（十）组织协调灾害救助工作，组织指导灾情核查、损失评估、救灾捐赠工作，管理、分配中央、自治区和地区救灾款物并监督使用。</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（十一）依法行使安全生产综合监督管理职权，指导协调、监督检查各乡镇（场）和各部门安全生产工作，组织开展安全生产巡查、考核工作。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（十三）依法组织指导生产安全事故调查处理，监督事故查处和责任追究落实情况。组织开展自然灾害类突发事件的调查评估工作。</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（十四）制定应急物资储备和应急救援装备规划并组织实施，会同县发展和改革委员会（县粮食和物资储备局）等部门建立健全应急物资信息平台和调拨制度，在救灾时统一调度。</w:t>
      </w:r>
    </w:p>
    <w:p>
      <w:pPr>
        <w:widowControl/>
        <w:spacing w:line="600" w:lineRule="exact"/>
        <w:ind w:firstLine="64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（十五）负责组织应急管理、安全生产宣传教育和培训工作，组织指导全县应急管理、安全生产的科学技术研究、推广应用和信息化建设工作。开展应急管理方面的对外合作与交流。</w:t>
      </w:r>
    </w:p>
    <w:p>
      <w:pPr>
        <w:widowControl/>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rPr>
        <w:t>（十六）完成县委、县政府交办的其他任务。</w:t>
      </w:r>
    </w:p>
    <w:p>
      <w:pPr>
        <w:spacing w:line="600" w:lineRule="exact"/>
        <w:ind w:firstLine="643"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2"/>
          <w:szCs w:val="32"/>
        </w:rPr>
        <w:t>二、机构设置及</w:t>
      </w:r>
      <w:bookmarkEnd w:id="4"/>
      <w:r>
        <w:rPr>
          <w:rFonts w:hint="eastAsia" w:ascii="仿宋_GB2312" w:hAnsi="仿宋_GB2312" w:eastAsia="仿宋_GB2312" w:cs="仿宋_GB2312"/>
          <w:b/>
          <w:kern w:val="0"/>
          <w:sz w:val="32"/>
          <w:szCs w:val="32"/>
        </w:rPr>
        <w:t>人员情况</w:t>
      </w:r>
      <w:bookmarkEnd w:id="5"/>
    </w:p>
    <w:p>
      <w:pPr>
        <w:spacing w:line="600" w:lineRule="exact"/>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裕民县应急管理局2023年度，实有人数</w:t>
      </w:r>
      <w:r>
        <w:rPr>
          <w:rFonts w:hint="eastAsia" w:ascii="仿宋_GB2312" w:hAnsi="仿宋_GB2312" w:eastAsia="仿宋_GB2312" w:cs="仿宋_GB2312"/>
          <w:sz w:val="32"/>
          <w:szCs w:val="32"/>
          <w:lang w:val="zh-CN"/>
        </w:rPr>
        <w:t>33</w:t>
      </w:r>
      <w:r>
        <w:rPr>
          <w:rFonts w:hint="eastAsia" w:ascii="仿宋_GB2312" w:hAnsi="仿宋_GB2312" w:eastAsia="仿宋_GB2312" w:cs="仿宋_GB2312"/>
          <w:sz w:val="32"/>
          <w:szCs w:val="32"/>
        </w:rPr>
        <w:t>人，其中：在职人员</w:t>
      </w:r>
      <w:r>
        <w:rPr>
          <w:rFonts w:hint="eastAsia" w:ascii="仿宋_GB2312" w:hAnsi="仿宋_GB2312" w:eastAsia="仿宋_GB2312" w:cs="仿宋_GB2312"/>
          <w:sz w:val="32"/>
          <w:szCs w:val="32"/>
          <w:lang w:val="zh-CN"/>
        </w:rPr>
        <w:t>31</w:t>
      </w:r>
      <w:r>
        <w:rPr>
          <w:rFonts w:hint="eastAsia" w:ascii="仿宋_GB2312" w:hAnsi="仿宋_GB2312" w:eastAsia="仿宋_GB2312" w:cs="仿宋_GB2312"/>
          <w:sz w:val="32"/>
          <w:szCs w:val="32"/>
        </w:rPr>
        <w:t>人，离休人员</w:t>
      </w:r>
      <w:r>
        <w:rPr>
          <w:rFonts w:hint="eastAsia" w:ascii="仿宋_GB2312" w:hAnsi="仿宋_GB2312" w:eastAsia="仿宋_GB2312" w:cs="仿宋_GB2312"/>
          <w:sz w:val="32"/>
          <w:szCs w:val="32"/>
          <w:lang w:val="zh-CN"/>
        </w:rPr>
        <w:t>0</w:t>
      </w:r>
      <w:r>
        <w:rPr>
          <w:rFonts w:hint="eastAsia" w:ascii="仿宋_GB2312" w:hAnsi="仿宋_GB2312" w:eastAsia="仿宋_GB2312" w:cs="仿宋_GB2312"/>
          <w:sz w:val="32"/>
          <w:szCs w:val="32"/>
        </w:rPr>
        <w:t>人，退休人员</w:t>
      </w:r>
      <w:r>
        <w:rPr>
          <w:rFonts w:hint="eastAsia" w:ascii="仿宋_GB2312" w:hAnsi="仿宋_GB2312" w:eastAsia="仿宋_GB2312" w:cs="仿宋_GB2312"/>
          <w:sz w:val="32"/>
          <w:szCs w:val="32"/>
          <w:lang w:val="zh-CN"/>
        </w:rPr>
        <w:t>2</w:t>
      </w:r>
      <w:r>
        <w:rPr>
          <w:rFonts w:hint="eastAsia" w:ascii="仿宋_GB2312" w:hAnsi="仿宋_GB2312" w:eastAsia="仿宋_GB2312" w:cs="仿宋_GB2312"/>
          <w:sz w:val="32"/>
          <w:szCs w:val="32"/>
        </w:rPr>
        <w:t>人。</w:t>
      </w:r>
    </w:p>
    <w:p>
      <w:pPr>
        <w:spacing w:line="600" w:lineRule="exact"/>
        <w:ind w:firstLine="640" w:firstLineChars="200"/>
        <w:rPr>
          <w:rFonts w:hint="eastAsia" w:ascii="仿宋_GB2312" w:hAnsi="仿宋_GB2312" w:eastAsia="仿宋_GB2312" w:cs="仿宋_GB2312"/>
          <w:sz w:val="32"/>
          <w:szCs w:val="32"/>
        </w:rPr>
      </w:pPr>
      <w:bookmarkStart w:id="6" w:name="_Toc3092"/>
      <w:bookmarkStart w:id="7" w:name="_Toc29374"/>
      <w:r>
        <w:rPr>
          <w:rFonts w:hint="eastAsia" w:ascii="仿宋_GB2312" w:hAnsi="仿宋_GB2312" w:eastAsia="仿宋_GB2312" w:cs="仿宋_GB2312"/>
          <w:sz w:val="32"/>
          <w:szCs w:val="32"/>
        </w:rPr>
        <w:t>裕民县应急管理局为行政单位，无下属预算单位，无增减变动。下设4个处室，分别是：综合行政执法大队、草原消防中队、自然灾害综合预警中心、矿山安全服务保障中心</w:t>
      </w:r>
    </w:p>
    <w:p>
      <w:pPr>
        <w:spacing w:line="600" w:lineRule="exact"/>
        <w:jc w:val="center"/>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 部门决算情况说明</w:t>
      </w:r>
      <w:bookmarkEnd w:id="6"/>
      <w:bookmarkEnd w:id="7"/>
    </w:p>
    <w:p>
      <w:pPr>
        <w:spacing w:line="600" w:lineRule="exact"/>
        <w:ind w:firstLine="643" w:firstLineChars="200"/>
        <w:outlineLvl w:val="1"/>
        <w:rPr>
          <w:rFonts w:hint="eastAsia" w:ascii="仿宋_GB2312" w:hAnsi="仿宋_GB2312" w:eastAsia="仿宋_GB2312" w:cs="仿宋_GB2312"/>
          <w:b/>
          <w:kern w:val="0"/>
          <w:sz w:val="32"/>
          <w:szCs w:val="32"/>
        </w:rPr>
      </w:pPr>
      <w:bookmarkStart w:id="8" w:name="_Toc12566"/>
      <w:bookmarkStart w:id="9" w:name="_Toc25314"/>
      <w:r>
        <w:rPr>
          <w:rFonts w:hint="eastAsia" w:ascii="仿宋_GB2312" w:hAnsi="仿宋_GB2312" w:eastAsia="仿宋_GB2312" w:cs="仿宋_GB2312"/>
          <w:b/>
          <w:kern w:val="0"/>
          <w:sz w:val="32"/>
          <w:szCs w:val="32"/>
        </w:rPr>
        <w:t>一、收入支出决算总体情况说明</w:t>
      </w:r>
      <w:bookmarkEnd w:id="8"/>
      <w:bookmarkEnd w:id="9"/>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2023年度收入总计2,172.55万元，</w:t>
      </w:r>
      <w:r>
        <w:rPr>
          <w:rFonts w:hint="eastAsia" w:ascii="仿宋_GB2312" w:hAnsi="仿宋_GB2312" w:eastAsia="仿宋_GB2312" w:cs="仿宋_GB2312"/>
          <w:sz w:val="32"/>
          <w:szCs w:val="32"/>
        </w:rPr>
        <w:t>其中：本年收入合计2,172.55万元，使用非财政拨款结余0.00万元，年初结转和结余0.00万元。</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2023年度支出总计2,172.55万元，</w:t>
      </w:r>
      <w:r>
        <w:rPr>
          <w:rFonts w:hint="eastAsia" w:ascii="仿宋_GB2312" w:hAnsi="仿宋_GB2312" w:eastAsia="仿宋_GB2312" w:cs="仿宋_GB2312"/>
          <w:sz w:val="32"/>
          <w:szCs w:val="32"/>
        </w:rPr>
        <w:t>其中：本年支出合计2,172.55万元，结余分配0.00万元，年末结转和结余0.00万元。</w:t>
      </w:r>
    </w:p>
    <w:p>
      <w:pPr>
        <w:spacing w:line="600" w:lineRule="exact"/>
        <w:ind w:firstLine="643" w:firstLineChars="200"/>
        <w:rPr>
          <w:rFonts w:hint="eastAsia" w:ascii="仿宋_GB2312" w:hAnsi="仿宋_GB2312" w:eastAsia="仿宋_GB2312" w:cs="仿宋_GB2312"/>
          <w:sz w:val="32"/>
          <w:szCs w:val="32"/>
        </w:rPr>
      </w:pPr>
      <w:bookmarkStart w:id="10" w:name="_Toc1979"/>
      <w:bookmarkStart w:id="11" w:name="_Toc12142"/>
      <w:r>
        <w:rPr>
          <w:rFonts w:hint="eastAsia" w:ascii="仿宋_GB2312" w:hAnsi="仿宋_GB2312" w:eastAsia="仿宋_GB2312" w:cs="仿宋_GB2312"/>
          <w:b/>
          <w:bCs/>
          <w:sz w:val="32"/>
          <w:szCs w:val="32"/>
        </w:rPr>
        <w:t>收入支出总体与上年相比，</w:t>
      </w:r>
      <w:r>
        <w:rPr>
          <w:rFonts w:hint="eastAsia" w:ascii="仿宋_GB2312" w:hAnsi="仿宋_GB2312" w:eastAsia="仿宋_GB2312" w:cs="仿宋_GB2312"/>
          <w:b/>
          <w:bCs/>
          <w:sz w:val="32"/>
          <w:szCs w:val="32"/>
          <w:lang w:val="zh-CN"/>
        </w:rPr>
        <w:t>增加1,609.06万元</w:t>
      </w:r>
      <w:r>
        <w:rPr>
          <w:rFonts w:hint="eastAsia" w:ascii="仿宋_GB2312" w:hAnsi="仿宋_GB2312" w:eastAsia="仿宋_GB2312" w:cs="仿宋_GB2312"/>
          <w:sz w:val="32"/>
          <w:szCs w:val="32"/>
        </w:rPr>
        <w:t>，增长285.55%，主要原因是：本年新增一般债券项目资金、安全生产专项经费、人员政策性曾资等。</w:t>
      </w:r>
    </w:p>
    <w:p>
      <w:pPr>
        <w:spacing w:line="600" w:lineRule="exact"/>
        <w:ind w:firstLine="643"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2"/>
          <w:szCs w:val="32"/>
        </w:rPr>
        <w:t>二、收入决算情况说明</w:t>
      </w:r>
      <w:bookmarkEnd w:id="10"/>
      <w:bookmarkEnd w:id="11"/>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本年收入2,172.55万元，</w:t>
      </w:r>
      <w:r>
        <w:rPr>
          <w:rFonts w:hint="eastAsia" w:ascii="仿宋_GB2312" w:hAnsi="仿宋_GB2312" w:eastAsia="仿宋_GB2312" w:cs="仿宋_GB2312"/>
          <w:sz w:val="32"/>
          <w:szCs w:val="32"/>
        </w:rPr>
        <w:t>其中：财政拨款收入</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100.00</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w:t>
      </w:r>
    </w:p>
    <w:p>
      <w:pPr>
        <w:spacing w:line="600" w:lineRule="exact"/>
        <w:ind w:firstLine="643" w:firstLineChars="200"/>
        <w:outlineLvl w:val="1"/>
        <w:rPr>
          <w:rFonts w:hint="eastAsia" w:ascii="仿宋_GB2312" w:hAnsi="仿宋_GB2312" w:eastAsia="仿宋_GB2312" w:cs="仿宋_GB2312"/>
          <w:b/>
          <w:kern w:val="0"/>
          <w:sz w:val="32"/>
          <w:szCs w:val="32"/>
        </w:rPr>
      </w:pPr>
      <w:bookmarkStart w:id="12" w:name="_Toc27961"/>
      <w:bookmarkStart w:id="13" w:name="_Toc13201"/>
      <w:r>
        <w:rPr>
          <w:rFonts w:hint="eastAsia" w:ascii="仿宋_GB2312" w:hAnsi="仿宋_GB2312" w:eastAsia="仿宋_GB2312" w:cs="仿宋_GB2312"/>
          <w:b/>
          <w:kern w:val="0"/>
          <w:sz w:val="32"/>
          <w:szCs w:val="32"/>
        </w:rPr>
        <w:t>三、支出决算情况说明</w:t>
      </w:r>
      <w:bookmarkEnd w:id="12"/>
      <w:bookmarkEnd w:id="13"/>
    </w:p>
    <w:p>
      <w:pPr>
        <w:spacing w:line="600" w:lineRule="exact"/>
        <w:ind w:firstLine="643" w:firstLineChars="200"/>
        <w:rPr>
          <w:rFonts w:hint="eastAsia" w:ascii="仿宋_GB2312" w:hAnsi="仿宋_GB2312" w:eastAsia="仿宋_GB2312" w:cs="仿宋_GB2312"/>
          <w:sz w:val="30"/>
          <w:szCs w:val="30"/>
          <w:lang w:val="zh-CN"/>
        </w:rPr>
      </w:pPr>
      <w:r>
        <w:rPr>
          <w:rFonts w:hint="eastAsia" w:ascii="仿宋_GB2312" w:hAnsi="仿宋_GB2312" w:eastAsia="仿宋_GB2312" w:cs="仿宋_GB2312"/>
          <w:b/>
          <w:bCs/>
          <w:sz w:val="32"/>
          <w:szCs w:val="32"/>
          <w:lang w:val="zh-CN"/>
        </w:rPr>
        <w:t>本年支出2,172.55万元，</w:t>
      </w:r>
      <w:r>
        <w:rPr>
          <w:rFonts w:hint="eastAsia" w:ascii="仿宋_GB2312" w:hAnsi="仿宋_GB2312" w:eastAsia="仿宋_GB2312" w:cs="仿宋_GB2312"/>
          <w:sz w:val="32"/>
          <w:szCs w:val="32"/>
          <w:lang w:val="zh-CN"/>
        </w:rPr>
        <w:t>其中：基本支出558.11万元，占25.69%；项目支出1,614.44万元，占74.31%；上缴上级支出0.00万元，占0.00%；经营支出0.00万元，占0.00%；对附属单位补助支出0.00万元，占0.00%。</w:t>
      </w:r>
    </w:p>
    <w:p>
      <w:pPr>
        <w:spacing w:line="600" w:lineRule="exact"/>
        <w:ind w:firstLine="643" w:firstLineChars="200"/>
        <w:outlineLvl w:val="1"/>
        <w:rPr>
          <w:rFonts w:hint="eastAsia" w:ascii="仿宋_GB2312" w:hAnsi="仿宋_GB2312" w:eastAsia="仿宋_GB2312" w:cs="仿宋_GB2312"/>
          <w:b/>
          <w:kern w:val="0"/>
          <w:sz w:val="32"/>
          <w:szCs w:val="32"/>
        </w:rPr>
      </w:pPr>
      <w:bookmarkStart w:id="14" w:name="_Toc26564"/>
      <w:bookmarkStart w:id="15" w:name="_Toc4393"/>
      <w:r>
        <w:rPr>
          <w:rFonts w:hint="eastAsia" w:ascii="仿宋_GB2312" w:hAnsi="仿宋_GB2312" w:eastAsia="仿宋_GB2312" w:cs="仿宋_GB2312"/>
          <w:b/>
          <w:kern w:val="0"/>
          <w:sz w:val="32"/>
          <w:szCs w:val="32"/>
        </w:rPr>
        <w:t>四、财政拨款收入支出决算总体情况说明</w:t>
      </w:r>
      <w:bookmarkEnd w:id="14"/>
      <w:bookmarkEnd w:id="15"/>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2023年度财政拨款收入总计</w:t>
      </w:r>
      <w:r>
        <w:rPr>
          <w:rFonts w:hint="eastAsia" w:ascii="仿宋_GB2312" w:hAnsi="仿宋_GB2312" w:eastAsia="仿宋_GB2312" w:cs="仿宋_GB2312"/>
          <w:b/>
          <w:bCs/>
          <w:sz w:val="32"/>
          <w:szCs w:val="32"/>
          <w:lang w:val="zh-CN"/>
        </w:rPr>
        <w:t>2,172.55</w:t>
      </w:r>
      <w:r>
        <w:rPr>
          <w:rFonts w:hint="eastAsia" w:ascii="仿宋_GB2312" w:hAnsi="仿宋_GB2312" w:eastAsia="仿宋_GB2312" w:cs="仿宋_GB2312"/>
          <w:b/>
          <w:bCs/>
          <w:sz w:val="32"/>
          <w:szCs w:val="32"/>
        </w:rPr>
        <w:t>万元</w:t>
      </w:r>
      <w:r>
        <w:rPr>
          <w:rFonts w:hint="eastAsia" w:ascii="仿宋_GB2312" w:hAnsi="仿宋_GB2312" w:eastAsia="仿宋_GB2312" w:cs="仿宋_GB2312"/>
          <w:sz w:val="32"/>
          <w:szCs w:val="32"/>
        </w:rPr>
        <w:t>，其中：年初财政拨款结转和结余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万元，本年财政拨款收入</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万元。财政拨款支出总计</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万元，其中：年末财政拨款结转和结余</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万元，本年财政拨款支出</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财政拨款收入支出总体与上年相比,增加1,609.06万元，增长285.55%</w:t>
      </w:r>
      <w:r>
        <w:rPr>
          <w:rFonts w:hint="eastAsia" w:ascii="仿宋_GB2312" w:hAnsi="仿宋_GB2312" w:eastAsia="仿宋_GB2312" w:cs="仿宋_GB2312"/>
          <w:sz w:val="32"/>
          <w:szCs w:val="32"/>
        </w:rPr>
        <w:t>,主要原因是：本年新增一般债券项目资金、安全生产专项经费、人员政策性增资等。</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436.55</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万元，预决算差异率397.66%，主要原因是：本年新增一般债券项目资金、安全生产专项经费、人员政策性增资等。</w:t>
      </w:r>
    </w:p>
    <w:p>
      <w:pPr>
        <w:spacing w:line="600" w:lineRule="exact"/>
        <w:ind w:firstLine="643" w:firstLineChars="200"/>
        <w:outlineLvl w:val="1"/>
        <w:rPr>
          <w:rFonts w:hint="eastAsia" w:ascii="仿宋_GB2312" w:hAnsi="仿宋_GB2312" w:eastAsia="仿宋_GB2312" w:cs="仿宋_GB2312"/>
          <w:b/>
          <w:kern w:val="0"/>
          <w:sz w:val="32"/>
          <w:szCs w:val="32"/>
        </w:rPr>
      </w:pPr>
      <w:bookmarkStart w:id="16" w:name="_Toc13833"/>
      <w:bookmarkStart w:id="17" w:name="_Toc20360"/>
      <w:r>
        <w:rPr>
          <w:rFonts w:hint="eastAsia" w:ascii="仿宋_GB2312" w:hAnsi="仿宋_GB2312" w:eastAsia="仿宋_GB2312" w:cs="仿宋_GB2312"/>
          <w:b/>
          <w:kern w:val="0"/>
          <w:sz w:val="32"/>
          <w:szCs w:val="32"/>
        </w:rPr>
        <w:t>五、一般公共预算财政拨款支出决算情况说明</w:t>
      </w:r>
      <w:bookmarkEnd w:id="16"/>
      <w:bookmarkEnd w:id="17"/>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（一）一般公共预算财政拨款支出决算总体情况</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2023年度一般公共预算财政拨款支出2,172.55万元</w:t>
      </w:r>
      <w:r>
        <w:rPr>
          <w:rFonts w:hint="eastAsia" w:ascii="仿宋_GB2312" w:hAnsi="仿宋_GB2312" w:eastAsia="仿宋_GB2312" w:cs="仿宋_GB2312"/>
          <w:sz w:val="32"/>
          <w:szCs w:val="32"/>
        </w:rPr>
        <w:t>，占本年支出合计的</w:t>
      </w:r>
      <w:r>
        <w:rPr>
          <w:rFonts w:hint="eastAsia" w:ascii="仿宋_GB2312" w:hAnsi="仿宋_GB2312" w:eastAsia="仿宋_GB2312" w:cs="仿宋_GB2312"/>
          <w:sz w:val="32"/>
          <w:szCs w:val="32"/>
          <w:lang w:val="zh-CN"/>
        </w:rPr>
        <w:t>100.00%</w:t>
      </w:r>
      <w:r>
        <w:rPr>
          <w:rFonts w:hint="eastAsia" w:ascii="仿宋_GB2312" w:hAnsi="仿宋_GB2312" w:eastAsia="仿宋_GB2312" w:cs="仿宋_GB2312"/>
          <w:sz w:val="32"/>
          <w:szCs w:val="32"/>
        </w:rPr>
        <w:t>。与上年相比，</w:t>
      </w:r>
      <w:r>
        <w:rPr>
          <w:rFonts w:hint="eastAsia" w:ascii="仿宋_GB2312" w:hAnsi="仿宋_GB2312" w:eastAsia="仿宋_GB2312" w:cs="仿宋_GB2312"/>
          <w:sz w:val="32"/>
          <w:szCs w:val="32"/>
          <w:lang w:val="zh-CN"/>
        </w:rPr>
        <w:t>增加1,609.06万元</w:t>
      </w:r>
      <w:r>
        <w:rPr>
          <w:rFonts w:hint="eastAsia" w:ascii="仿宋_GB2312" w:hAnsi="仿宋_GB2312" w:eastAsia="仿宋_GB2312" w:cs="仿宋_GB2312"/>
          <w:sz w:val="32"/>
          <w:szCs w:val="32"/>
        </w:rPr>
        <w:t>，增长285.55%,主要原因是：本年新增一般债券项目资金、安全生产专项经费、人员政策性增资等。</w:t>
      </w:r>
      <w:r>
        <w:rPr>
          <w:rFonts w:hint="eastAsia" w:ascii="仿宋_GB2312" w:hAnsi="仿宋_GB2312" w:eastAsia="仿宋_GB2312" w:cs="仿宋_GB2312"/>
          <w:b/>
          <w:bCs/>
          <w:sz w:val="32"/>
          <w:szCs w:val="32"/>
        </w:rPr>
        <w:t>与年初预算相比，</w:t>
      </w:r>
      <w:r>
        <w:rPr>
          <w:rFonts w:hint="eastAsia" w:ascii="仿宋_GB2312" w:hAnsi="仿宋_GB2312" w:eastAsia="仿宋_GB2312" w:cs="仿宋_GB2312"/>
          <w:sz w:val="32"/>
          <w:szCs w:val="32"/>
        </w:rPr>
        <w:t>年初预算数</w:t>
      </w:r>
      <w:r>
        <w:rPr>
          <w:rFonts w:hint="eastAsia" w:ascii="仿宋_GB2312" w:hAnsi="仿宋_GB2312" w:eastAsia="仿宋_GB2312" w:cs="仿宋_GB2312"/>
          <w:sz w:val="32"/>
          <w:szCs w:val="32"/>
          <w:lang w:val="zh-CN"/>
        </w:rPr>
        <w:t>436.55</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val="zh-CN"/>
        </w:rPr>
        <w:t>2,172.55</w:t>
      </w:r>
      <w:r>
        <w:rPr>
          <w:rFonts w:hint="eastAsia" w:ascii="仿宋_GB2312" w:hAnsi="仿宋_GB2312" w:eastAsia="仿宋_GB2312" w:cs="仿宋_GB2312"/>
          <w:sz w:val="32"/>
          <w:szCs w:val="32"/>
        </w:rPr>
        <w:t>万元，预决算差异率</w:t>
      </w:r>
      <w:r>
        <w:rPr>
          <w:rFonts w:hint="eastAsia" w:ascii="仿宋_GB2312" w:hAnsi="仿宋_GB2312" w:eastAsia="仿宋_GB2312" w:cs="仿宋_GB2312"/>
          <w:sz w:val="32"/>
          <w:szCs w:val="32"/>
          <w:lang w:val="zh-CN"/>
        </w:rPr>
        <w:t>397.66%</w:t>
      </w:r>
      <w:r>
        <w:rPr>
          <w:rFonts w:hint="eastAsia" w:ascii="仿宋_GB2312" w:hAnsi="仿宋_GB2312" w:eastAsia="仿宋_GB2312" w:cs="仿宋_GB2312"/>
          <w:sz w:val="32"/>
          <w:szCs w:val="32"/>
        </w:rPr>
        <w:t>，主要原因是：本年新增一般债券项目资金、安全生产专项经费、人员政策性增资等。</w:t>
      </w:r>
    </w:p>
    <w:p>
      <w:pPr>
        <w:numPr>
          <w:ilvl w:val="0"/>
          <w:numId w:val="1"/>
        </w:num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一般公共预算财政拨款支出决算结构情况</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1</w:t>
      </w:r>
      <w:r>
        <w:rPr>
          <w:rFonts w:hint="eastAsia" w:ascii="仿宋_GB2312" w:hAnsi="仿宋_GB2312" w:eastAsia="仿宋_GB2312" w:cs="仿宋_GB2312"/>
          <w:kern w:val="2"/>
          <w:sz w:val="32"/>
          <w:szCs w:val="32"/>
          <w:lang w:val="zh-CN"/>
        </w:rPr>
        <w:t>.社会保障和就业支出（类）47.06万元，占2.17%；</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lang w:val="zh-CN"/>
        </w:rPr>
        <w:t>.卫生健康支出（类）23.15万元，占1.07%；</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zh-CN"/>
        </w:rPr>
        <w:t>.节能环保支出（类）16.00万元，占0.74%；</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.农林水支出（类）14.49万元，占0.67%；</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zh-CN"/>
        </w:rPr>
        <w:t>.住房保障支出（类）35.95万元，占1.65%；</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6</w:t>
      </w:r>
      <w:r>
        <w:rPr>
          <w:rFonts w:hint="eastAsia" w:ascii="仿宋_GB2312" w:hAnsi="仿宋_GB2312" w:eastAsia="仿宋_GB2312" w:cs="仿宋_GB2312"/>
          <w:kern w:val="2"/>
          <w:sz w:val="32"/>
          <w:szCs w:val="32"/>
          <w:lang w:val="zh-CN"/>
        </w:rPr>
        <w:t>.害防治及应急管理支出（类）2,035.91万元，占93.7</w:t>
      </w:r>
      <w:r>
        <w:rPr>
          <w:rFonts w:hint="eastAsia" w:ascii="仿宋_GB2312" w:hAnsi="仿宋_GB2312" w:eastAsia="仿宋_GB2312" w:cs="仿宋_GB2312"/>
          <w:kern w:val="2"/>
          <w:sz w:val="32"/>
          <w:szCs w:val="32"/>
        </w:rPr>
        <w:t>0</w:t>
      </w:r>
      <w:r>
        <w:rPr>
          <w:rFonts w:hint="eastAsia" w:ascii="仿宋_GB2312" w:hAnsi="仿宋_GB2312" w:eastAsia="仿宋_GB2312" w:cs="仿宋_GB2312"/>
          <w:kern w:val="2"/>
          <w:sz w:val="32"/>
          <w:szCs w:val="32"/>
          <w:lang w:val="zh-CN"/>
        </w:rPr>
        <w:t>%；</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（三）一般公共预算财政拨款支出决算具体情况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1.灾害防治及应急管理支出（类）自然灾害防治（款）森林草原防灾减灾（项）:支出决算数为12.19万元，比上年决算减少25.57万元，下降67.73%，主要原因是：项目为上年结余资金，与上年相比金额减少。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2.卫生健康支出（类）行政事业单位医疗（款）行政单位医疗（项）:支出决算数为20.48万元，比上年决算增加1.50万元，增长7.91%，主要原因是：行政人员缴费基数增资，与上年相比行政单位医疗提高。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3.灾害防治及应急管理支出（类）自然灾害救灾及恢复重建支出（款）自然灾害救灾补助（项）:支出决算数为33.90万元，比上年决算增加33.90万元，增长100%，主要原因是：本年新增自然灾害救灾补助项目。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4.卫生健康支出（类）行政事业单位医疗（款）公务员医疗补助（项）:支出决算数为2.67万元，比上年决算减少0.28万元，下降9.49%，主要原因是：</w:t>
      </w:r>
      <w:r>
        <w:rPr>
          <w:rFonts w:hint="eastAsia" w:ascii="仿宋_GB2312" w:hAnsi="仿宋_GB2312" w:eastAsia="仿宋_GB2312" w:cs="仿宋_GB2312"/>
          <w:sz w:val="32"/>
          <w:szCs w:val="32"/>
          <w:lang w:val="en-US" w:eastAsia="zh-CN"/>
        </w:rPr>
        <w:t>行政人员调动</w:t>
      </w:r>
      <w:r>
        <w:rPr>
          <w:rFonts w:hint="eastAsia" w:ascii="仿宋_GB2312" w:hAnsi="仿宋_GB2312" w:eastAsia="仿宋_GB2312" w:cs="仿宋_GB2312"/>
          <w:sz w:val="32"/>
          <w:szCs w:val="32"/>
        </w:rPr>
        <w:t>，与上年相比行政单位医疗公务员医疗补助</w:t>
      </w:r>
      <w:r>
        <w:rPr>
          <w:rFonts w:hint="eastAsia" w:ascii="仿宋_GB2312" w:hAnsi="仿宋_GB2312" w:eastAsia="仿宋_GB2312" w:cs="仿宋_GB2312"/>
          <w:sz w:val="32"/>
          <w:szCs w:val="32"/>
          <w:lang w:val="en-US" w:eastAsia="zh-CN"/>
        </w:rPr>
        <w:t>下降</w:t>
      </w:r>
      <w:r>
        <w:rPr>
          <w:rFonts w:hint="eastAsia" w:ascii="仿宋_GB2312" w:hAnsi="仿宋_GB2312" w:eastAsia="仿宋_GB2312" w:cs="仿宋_GB2312"/>
          <w:sz w:val="32"/>
          <w:szCs w:val="32"/>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5.住房保障支出（类）住房改革支出（款）住房公积金（项）:支出决算数为35.95万元，比上年决算增加3.99万元，增长12.49%，主要原因是：行政人员缴费基数增资，与上年相比公积金提高。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6.灾害防治及应急管理支出（类）应急管理事务（款）安全监管（项）:支出决算数为31.55万元，比上年决算增加31.55万元，增长100%，主要原因是：本年新增申请安全生产专项经费。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7.灾害防治及应急管理支出（类）应急管理事务（款）其他应急管理支出（项）:支出决算数为1,563.63万元，比上年决算增加1,555.29万元</w:t>
      </w:r>
      <w:r>
        <w:rPr>
          <w:rFonts w:hint="eastAsia" w:ascii="仿宋_GB2312" w:hAnsi="仿宋_GB2312" w:eastAsia="仿宋_GB2312" w:cs="仿宋_GB2312"/>
          <w:color w:val="auto"/>
          <w:sz w:val="32"/>
          <w:szCs w:val="32"/>
        </w:rPr>
        <w:t>，增长</w:t>
      </w:r>
      <w:r>
        <w:rPr>
          <w:rFonts w:hint="eastAsia" w:ascii="仿宋_GB2312" w:hAnsi="仿宋_GB2312" w:eastAsia="仿宋_GB2312" w:cs="仿宋_GB2312"/>
          <w:color w:val="auto"/>
          <w:sz w:val="32"/>
          <w:szCs w:val="32"/>
          <w:lang w:val="en-US" w:eastAsia="zh-CN"/>
        </w:rPr>
        <w:t>18648.56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，主要原因是：本年新增地方债券项目。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8.社会保障和就业支出（类）行政事业单位养老支出（款）行政单位离退</w:t>
      </w:r>
      <w:r>
        <w:rPr>
          <w:rFonts w:hint="eastAsia" w:ascii="仿宋_GB2312" w:hAnsi="仿宋_GB2312" w:eastAsia="仿宋_GB2312" w:cs="仿宋_GB2312"/>
          <w:color w:val="auto"/>
          <w:sz w:val="32"/>
          <w:szCs w:val="32"/>
        </w:rPr>
        <w:t>休（项）:支出决算数为1.17万元，比上年决算减少0.09万元，下降7.</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主要原因是：退休人员基数调减。</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9.节能环保支出（类）污染防治（款）其他污染防治支出（项）:支出决算数为16.00万元，比上年决算减少9.80万元，下降37.98%，主要原因是：该专项资金为上年结余，与上年相比资金减少。</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10.灾害防治及应急管理支出（类）应急管理事务（款）行政运行（项）:支出决算数为394.64万元，比上年决算增加28.05万元，增长7.65%，主要原因是：人员调入、调出，缴费基数提高。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45.89万元，比上年决算增加8.02万元，增长21.17%，主要原因是：人员调入、调出，普调工资，养老缴费基数提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12.农林水支出（类）农业农村（款）其他农业农村支出（项）:支出决算数为14.49万元，比上年决算增加14.49万元，增长100%，主要原因是：本年有为民办实事工作经费支出。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13.社会保障和就业支出（类）行政事业单位养老支出（款）机关事业单位职业年金缴费支出（项）:支出决算数为0.00万元，比上年决算减少8.52万元，下降100%，主要原因是：本年未有离退休人员。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14.其他支出（类）其他支出（款）其他支出（项）:支出决算数为0.00万元，比上年决算减少15.00万元，下降100%，主要原因是：本年为民办实事工作经费项目调整。</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15.灾害防治及应急管理支出（类）应急管理事务（款）灾害风险防治（项）:支出决算数为0.00万元，比上年决算减少8.48万元，下降100%，主要原因是：本年无此项支出。</w:t>
      </w:r>
    </w:p>
    <w:p>
      <w:pPr>
        <w:spacing w:line="600" w:lineRule="exact"/>
        <w:ind w:firstLine="643" w:firstLineChars="200"/>
        <w:outlineLvl w:val="1"/>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六、一般公共预算财政拨款基本支出决算情况说明</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2023年度一般公共预算财政拨款基本支出558.11万元，</w:t>
      </w:r>
      <w:r>
        <w:rPr>
          <w:rFonts w:hint="eastAsia" w:ascii="仿宋_GB2312" w:hAnsi="仿宋_GB2312" w:eastAsia="仿宋_GB2312" w:cs="仿宋_GB2312"/>
          <w:sz w:val="32"/>
          <w:szCs w:val="32"/>
        </w:rPr>
        <w:t>其中：</w:t>
      </w:r>
      <w:r>
        <w:rPr>
          <w:rFonts w:hint="eastAsia" w:ascii="仿宋_GB2312" w:hAnsi="仿宋_GB2312" w:eastAsia="仿宋_GB2312" w:cs="仿宋_GB2312"/>
          <w:b/>
          <w:bCs/>
          <w:sz w:val="32"/>
          <w:szCs w:val="32"/>
        </w:rPr>
        <w:t>人员经费466.93万元，</w:t>
      </w:r>
      <w:r>
        <w:rPr>
          <w:rFonts w:hint="eastAsia" w:ascii="仿宋_GB2312" w:hAnsi="仿宋_GB2312" w:eastAsia="仿宋_GB2312" w:cs="仿宋_GB2312"/>
          <w:sz w:val="32"/>
          <w:szCs w:val="32"/>
        </w:rPr>
        <w:t>包括：基本工资、津贴补贴、奖金、绩效工资、机关事业单位基本养老保险缴费、职工基本医疗保险缴费、公务员医疗补助缴费</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其他社会保障缴费、住房公积金、退休费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医疗费补助</w:t>
      </w:r>
      <w:r>
        <w:rPr>
          <w:rFonts w:hint="eastAsia" w:ascii="仿宋_GB2312" w:hAnsi="仿宋_GB2312" w:eastAsia="仿宋_GB2312" w:cs="仿宋_GB2312"/>
          <w:sz w:val="32"/>
          <w:szCs w:val="32"/>
        </w:rPr>
        <w:t>。</w:t>
      </w:r>
    </w:p>
    <w:p>
      <w:pPr>
        <w:spacing w:line="600" w:lineRule="exact"/>
        <w:ind w:firstLine="643" w:firstLineChars="200"/>
        <w:rPr>
          <w:rFonts w:hint="eastAsia" w:ascii="仿宋_GB2312" w:hAnsi="仿宋_GB2312" w:eastAsia="仿宋_GB2312" w:cs="仿宋_GB2312"/>
          <w:sz w:val="32"/>
          <w:szCs w:val="32"/>
          <w:highlight w:val="red"/>
        </w:rPr>
      </w:pPr>
      <w:r>
        <w:rPr>
          <w:rFonts w:hint="eastAsia" w:ascii="仿宋_GB2312" w:hAnsi="仿宋_GB2312" w:eastAsia="仿宋_GB2312" w:cs="仿宋_GB2312"/>
          <w:b/>
          <w:bCs/>
          <w:sz w:val="32"/>
          <w:szCs w:val="32"/>
        </w:rPr>
        <w:t>公用经费91.18万元，</w:t>
      </w:r>
      <w:r>
        <w:rPr>
          <w:rFonts w:hint="eastAsia" w:ascii="仿宋_GB2312" w:hAnsi="仿宋_GB2312" w:eastAsia="仿宋_GB2312" w:cs="仿宋_GB2312"/>
          <w:sz w:val="32"/>
          <w:szCs w:val="32"/>
        </w:rPr>
        <w:t>包括：办公费、电费、邮电费、取暖费、维修（护）费、工会经费、公务用车运行维护费、其他交通费用、其他商品和服务。</w:t>
      </w:r>
    </w:p>
    <w:p>
      <w:pPr>
        <w:spacing w:line="600" w:lineRule="exact"/>
        <w:ind w:firstLine="643"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2"/>
          <w:szCs w:val="32"/>
        </w:rPr>
        <w:t>七、财政拨款“三公”经费支出决算情况说明</w:t>
      </w:r>
    </w:p>
    <w:p>
      <w:pPr>
        <w:spacing w:line="600" w:lineRule="exact"/>
        <w:ind w:firstLine="643"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bCs/>
          <w:sz w:val="32"/>
          <w:szCs w:val="32"/>
          <w:lang w:val="zh-CN"/>
        </w:rPr>
        <w:t>2023年度</w:t>
      </w:r>
      <w:r>
        <w:rPr>
          <w:rFonts w:hint="eastAsia" w:ascii="仿宋_GB2312" w:hAnsi="仿宋_GB2312" w:eastAsia="仿宋_GB2312" w:cs="仿宋_GB2312"/>
          <w:b/>
          <w:bCs/>
          <w:sz w:val="32"/>
          <w:szCs w:val="32"/>
        </w:rPr>
        <w:t>财政拨款</w:t>
      </w:r>
      <w:r>
        <w:rPr>
          <w:rFonts w:hint="eastAsia" w:ascii="仿宋_GB2312" w:hAnsi="仿宋_GB2312" w:eastAsia="仿宋_GB2312" w:cs="仿宋_GB2312"/>
          <w:b/>
          <w:bCs/>
          <w:sz w:val="32"/>
          <w:szCs w:val="32"/>
          <w:lang w:val="zh-CN"/>
        </w:rPr>
        <w:t>“三公”经费支出4.00万元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比上年增加0.88万元，增长28.21%</w:t>
      </w:r>
      <w:r>
        <w:rPr>
          <w:rFonts w:hint="eastAsia" w:ascii="仿宋_GB2312" w:hAnsi="仿宋_GB2312" w:eastAsia="仿宋_GB2312" w:cs="仿宋_GB2312"/>
          <w:sz w:val="32"/>
          <w:szCs w:val="32"/>
          <w:lang w:val="zh-CN"/>
        </w:rPr>
        <w:t>。其中：因公出国（境）费支出0.00万元，占0.00%，比上年增加0.00万元，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本年度无</w:t>
      </w:r>
      <w:r>
        <w:rPr>
          <w:rFonts w:hint="eastAsia" w:ascii="仿宋_GB2312" w:hAnsi="仿宋_GB2312" w:eastAsia="仿宋_GB2312" w:cs="仿宋_GB2312"/>
          <w:sz w:val="32"/>
          <w:szCs w:val="32"/>
          <w:lang w:val="zh-CN"/>
        </w:rPr>
        <w:t>因公出国（境）费；公务用车购置及运行维护费支出4.00万元，占100.00%，比上年增加0.88万元，增长28.21%；公务接待费支出0.00万元，占0.00%，比上年增加0.00万元，</w:t>
      </w:r>
      <w:r>
        <w:rPr>
          <w:rFonts w:hint="eastAsia" w:ascii="仿宋_GB2312" w:hAnsi="仿宋_GB2312" w:eastAsia="仿宋_GB2312" w:cs="仿宋_GB2312"/>
          <w:sz w:val="32"/>
          <w:szCs w:val="32"/>
        </w:rPr>
        <w:t>增长0.00%,</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本年度无公务接待</w:t>
      </w:r>
      <w:r>
        <w:rPr>
          <w:rFonts w:hint="eastAsia" w:ascii="仿宋_GB2312" w:hAnsi="仿宋_GB2312" w:eastAsia="仿宋_GB2312" w:cs="仿宋_GB2312"/>
          <w:sz w:val="32"/>
          <w:szCs w:val="32"/>
          <w:lang w:val="zh-CN"/>
        </w:rPr>
        <w:t>。</w:t>
      </w:r>
    </w:p>
    <w:p>
      <w:pPr>
        <w:spacing w:line="600" w:lineRule="exact"/>
        <w:ind w:firstLine="643" w:firstLineChars="20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具体情况如下：</w:t>
      </w:r>
    </w:p>
    <w:p>
      <w:pPr>
        <w:spacing w:line="60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因公出国（境）费支出0.00万元。单位全年安排的因公出国（境）团组0个，因公出国（境）0人次。</w:t>
      </w:r>
    </w:p>
    <w:p>
      <w:pPr>
        <w:spacing w:line="60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lang w:val="zh-CN"/>
        </w:rPr>
        <w:t>公务用车购置及运行维护费4.00万元，其中：公务用车购置费0.00万元，公务用车运行维护费4.00万元。公务用车运行维护费开支内容包括</w:t>
      </w:r>
      <w:r>
        <w:rPr>
          <w:rFonts w:hint="eastAsia" w:ascii="仿宋_GB2312" w:hAnsi="仿宋_GB2312" w:eastAsia="仿宋_GB2312" w:cs="仿宋_GB2312"/>
          <w:sz w:val="32"/>
          <w:szCs w:val="32"/>
        </w:rPr>
        <w:t>车辆维修、车辆加油等</w:t>
      </w:r>
      <w:r>
        <w:rPr>
          <w:rFonts w:hint="eastAsia" w:ascii="仿宋_GB2312" w:hAnsi="仿宋_GB2312" w:eastAsia="仿宋_GB2312" w:cs="仿宋_GB2312"/>
          <w:sz w:val="32"/>
          <w:szCs w:val="32"/>
          <w:lang w:val="zh-CN"/>
        </w:rPr>
        <w:t>。公务用车购置数0辆，公务用车保有量2辆。国有资产占用情况</w:t>
      </w:r>
      <w:r>
        <w:rPr>
          <w:rFonts w:hint="eastAsia" w:ascii="仿宋_GB2312" w:hAnsi="仿宋_GB2312" w:eastAsia="仿宋_GB2312" w:cs="仿宋_GB2312"/>
          <w:sz w:val="32"/>
          <w:szCs w:val="32"/>
        </w:rPr>
        <w:t>中固定资产车辆</w:t>
      </w:r>
      <w:r>
        <w:rPr>
          <w:rFonts w:hint="eastAsia" w:ascii="仿宋_GB2312" w:hAnsi="仿宋_GB2312" w:eastAsia="仿宋_GB2312" w:cs="仿宋_GB2312"/>
          <w:sz w:val="32"/>
          <w:szCs w:val="32"/>
          <w:lang w:val="zh-CN"/>
        </w:rPr>
        <w:t>17辆，</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zh-CN"/>
        </w:rPr>
        <w:t>公务用车</w:t>
      </w:r>
      <w:r>
        <w:rPr>
          <w:rFonts w:hint="eastAsia" w:ascii="仿宋_GB2312" w:hAnsi="仿宋_GB2312" w:eastAsia="仿宋_GB2312" w:cs="仿宋_GB2312"/>
          <w:sz w:val="32"/>
          <w:szCs w:val="32"/>
        </w:rPr>
        <w:t>保有量差异</w:t>
      </w:r>
      <w:r>
        <w:rPr>
          <w:rFonts w:hint="eastAsia" w:ascii="仿宋_GB2312" w:hAnsi="仿宋_GB2312" w:eastAsia="仿宋_GB2312" w:cs="仿宋_GB2312"/>
          <w:sz w:val="32"/>
          <w:szCs w:val="32"/>
          <w:lang w:val="zh-CN"/>
        </w:rPr>
        <w:t>原因是：</w:t>
      </w:r>
      <w:r>
        <w:rPr>
          <w:rFonts w:hint="eastAsia" w:ascii="仿宋_GB2312" w:hAnsi="仿宋_GB2312" w:eastAsia="仿宋_GB2312" w:cs="仿宋_GB2312"/>
          <w:sz w:val="32"/>
          <w:szCs w:val="32"/>
        </w:rPr>
        <w:t>其余车辆用的是安全生产经费</w:t>
      </w:r>
      <w:r>
        <w:rPr>
          <w:rFonts w:hint="eastAsia" w:ascii="仿宋_GB2312" w:hAnsi="仿宋_GB2312" w:eastAsia="仿宋_GB2312" w:cs="仿宋_GB2312"/>
          <w:sz w:val="32"/>
          <w:szCs w:val="32"/>
          <w:lang w:val="zh-CN"/>
        </w:rPr>
        <w:t>。</w:t>
      </w:r>
    </w:p>
    <w:p>
      <w:pPr>
        <w:spacing w:line="60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公务接待费0.00万元。单位全年安排的国内公务接待0批次，0人次。</w:t>
      </w:r>
    </w:p>
    <w:p>
      <w:pPr>
        <w:spacing w:line="60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val="0"/>
          <w:bCs w:val="0"/>
          <w:sz w:val="32"/>
          <w:szCs w:val="32"/>
          <w:lang w:val="zh-CN"/>
        </w:rPr>
        <w:t>与</w:t>
      </w:r>
      <w:r>
        <w:rPr>
          <w:rFonts w:hint="eastAsia" w:ascii="仿宋_GB2312" w:hAnsi="仿宋_GB2312" w:eastAsia="仿宋_GB2312" w:cs="仿宋_GB2312"/>
          <w:b w:val="0"/>
          <w:bCs w:val="0"/>
          <w:sz w:val="32"/>
          <w:szCs w:val="32"/>
        </w:rPr>
        <w:t>全年</w:t>
      </w:r>
      <w:r>
        <w:rPr>
          <w:rFonts w:hint="eastAsia" w:ascii="仿宋_GB2312" w:hAnsi="仿宋_GB2312" w:eastAsia="仿宋_GB2312" w:cs="仿宋_GB2312"/>
          <w:b w:val="0"/>
          <w:bCs w:val="0"/>
          <w:sz w:val="32"/>
          <w:szCs w:val="32"/>
          <w:lang w:val="zh-CN"/>
        </w:rPr>
        <w:t>预算相比</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zh-CN"/>
        </w:rPr>
        <w:t>财政拨款“三公”经费支出</w:t>
      </w:r>
      <w:r>
        <w:rPr>
          <w:rFonts w:hint="eastAsia" w:ascii="仿宋_GB2312" w:hAnsi="仿宋_GB2312" w:eastAsia="仿宋_GB2312" w:cs="仿宋_GB2312"/>
          <w:b w:val="0"/>
          <w:bCs w:val="0"/>
          <w:sz w:val="32"/>
          <w:szCs w:val="32"/>
        </w:rPr>
        <w:t>全年</w:t>
      </w:r>
      <w:r>
        <w:rPr>
          <w:rFonts w:hint="eastAsia" w:ascii="仿宋_GB2312" w:hAnsi="仿宋_GB2312" w:eastAsia="仿宋_GB2312" w:cs="仿宋_GB2312"/>
          <w:b w:val="0"/>
          <w:bCs w:val="0"/>
          <w:sz w:val="32"/>
          <w:szCs w:val="32"/>
          <w:lang w:val="zh-CN"/>
        </w:rPr>
        <w:t>预算数4.00万元，决算数4.00万元，预决算差</w:t>
      </w:r>
      <w:r>
        <w:rPr>
          <w:rFonts w:hint="eastAsia" w:ascii="仿宋_GB2312" w:hAnsi="仿宋_GB2312" w:eastAsia="仿宋_GB2312" w:cs="仿宋_GB2312"/>
          <w:sz w:val="32"/>
          <w:szCs w:val="32"/>
          <w:lang w:val="zh-CN"/>
        </w:rPr>
        <w:t>异率0.00%，主要原因是：</w:t>
      </w:r>
      <w:r>
        <w:rPr>
          <w:rFonts w:hint="eastAsia" w:ascii="仿宋_GB2312" w:hAnsi="仿宋_GB2312" w:eastAsia="仿宋_GB2312" w:cs="仿宋_GB2312"/>
          <w:sz w:val="32"/>
          <w:szCs w:val="32"/>
        </w:rPr>
        <w:t>我单位有公务用车编制2辆，无差异</w:t>
      </w:r>
      <w:r>
        <w:rPr>
          <w:rFonts w:hint="eastAsia" w:ascii="仿宋_GB2312" w:hAnsi="仿宋_GB2312" w:eastAsia="仿宋_GB2312" w:cs="仿宋_GB2312"/>
          <w:sz w:val="32"/>
          <w:szCs w:val="32"/>
          <w:lang w:val="zh-CN"/>
        </w:rPr>
        <w:t>。其中：因公出国（境）费</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zh-CN"/>
        </w:rPr>
        <w:t>0.00万元，决算数0.00万元，预决算差异率0.00%；公务用车购置费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预算数0.00万元，决算数0.00万元，预决算差异率0.00%；公务用车运行费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预算数4.00万元，决算数4.00万元，预决算差异率0.00%，主要原因是：</w:t>
      </w:r>
      <w:r>
        <w:rPr>
          <w:rFonts w:hint="eastAsia" w:ascii="仿宋_GB2312" w:hAnsi="仿宋_GB2312" w:eastAsia="仿宋_GB2312" w:cs="仿宋_GB2312"/>
          <w:sz w:val="32"/>
          <w:szCs w:val="32"/>
        </w:rPr>
        <w:t>我单位有公务用车编制2辆，无差异</w:t>
      </w:r>
      <w:r>
        <w:rPr>
          <w:rFonts w:hint="eastAsia" w:ascii="仿宋_GB2312" w:hAnsi="仿宋_GB2312" w:eastAsia="仿宋_GB2312" w:cs="仿宋_GB2312"/>
          <w:sz w:val="32"/>
          <w:szCs w:val="32"/>
          <w:lang w:val="zh-CN"/>
        </w:rPr>
        <w:t>；公务接待费</w:t>
      </w:r>
      <w:r>
        <w:rPr>
          <w:rFonts w:hint="eastAsia" w:ascii="仿宋_GB2312" w:hAnsi="仿宋_GB2312" w:eastAsia="仿宋_GB2312" w:cs="仿宋_GB2312"/>
          <w:sz w:val="32"/>
          <w:szCs w:val="32"/>
        </w:rPr>
        <w:t>全年</w:t>
      </w:r>
      <w:r>
        <w:rPr>
          <w:rFonts w:hint="eastAsia" w:ascii="仿宋_GB2312" w:hAnsi="仿宋_GB2312" w:eastAsia="仿宋_GB2312" w:cs="仿宋_GB2312"/>
          <w:sz w:val="32"/>
          <w:szCs w:val="32"/>
          <w:lang w:val="zh-CN"/>
        </w:rPr>
        <w:t>预算数0.00万元，决算数0.00万元，预决算差异率0.00%。</w:t>
      </w:r>
    </w:p>
    <w:p>
      <w:pPr>
        <w:spacing w:line="600" w:lineRule="exact"/>
        <w:ind w:firstLine="643" w:firstLineChars="200"/>
        <w:outlineLvl w:val="1"/>
        <w:rPr>
          <w:rFonts w:hint="eastAsia" w:ascii="仿宋_GB2312" w:hAnsi="仿宋_GB2312" w:eastAsia="仿宋_GB2312" w:cs="仿宋_GB2312"/>
          <w:bCs/>
          <w:kern w:val="0"/>
          <w:sz w:val="32"/>
          <w:szCs w:val="32"/>
        </w:rPr>
      </w:pPr>
      <w:bookmarkStart w:id="18" w:name="_Toc7927"/>
      <w:bookmarkStart w:id="19" w:name="_Toc5810"/>
      <w:r>
        <w:rPr>
          <w:rFonts w:hint="eastAsia" w:ascii="仿宋_GB2312" w:hAnsi="仿宋_GB2312" w:eastAsia="仿宋_GB2312" w:cs="仿宋_GB2312"/>
          <w:b/>
          <w:kern w:val="0"/>
          <w:sz w:val="32"/>
          <w:szCs w:val="32"/>
        </w:rPr>
        <w:t>八、政府性基金预算财政拨款收入支出决算情况说明</w:t>
      </w:r>
      <w:bookmarkEnd w:id="18"/>
      <w:bookmarkEnd w:id="19"/>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我单位本年度无政府性基金预算财政拨款收入、支出及结转和结余，政府性基金预算财政拨款收入支出决算表为空表。</w:t>
      </w:r>
    </w:p>
    <w:p>
      <w:pPr>
        <w:spacing w:line="600" w:lineRule="exact"/>
        <w:ind w:firstLine="643" w:firstLineChars="200"/>
        <w:outlineLvl w:val="1"/>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九、国有资本经营预算财政拨款收入支出决算情况说明</w:t>
      </w:r>
    </w:p>
    <w:p>
      <w:pPr>
        <w:spacing w:line="600" w:lineRule="exact"/>
        <w:ind w:firstLine="640" w:firstLineChars="200"/>
        <w:rPr>
          <w:rFonts w:hint="eastAsia" w:ascii="仿宋_GB2312" w:hAnsi="仿宋_GB2312" w:eastAsia="仿宋_GB2312" w:cs="仿宋_GB2312"/>
          <w:sz w:val="32"/>
          <w:szCs w:val="32"/>
        </w:rPr>
      </w:pPr>
      <w:bookmarkStart w:id="20" w:name="_Toc1235"/>
      <w:bookmarkStart w:id="21" w:name="_Toc7314"/>
      <w:r>
        <w:rPr>
          <w:rFonts w:hint="eastAsia" w:ascii="仿宋_GB2312" w:hAnsi="仿宋_GB2312" w:eastAsia="仿宋_GB2312" w:cs="仿宋_GB2312"/>
          <w:sz w:val="32"/>
          <w:szCs w:val="32"/>
        </w:rPr>
        <w:t>我单位本年度无国有资本经营预算财政拨款收入、支出及结转和结余，国有资本经营预算财政拨款收入支出决算表为空表。</w:t>
      </w:r>
    </w:p>
    <w:p>
      <w:pPr>
        <w:spacing w:line="600" w:lineRule="exact"/>
        <w:ind w:firstLine="643"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2"/>
          <w:szCs w:val="32"/>
        </w:rPr>
        <w:t>十、其他重要事项的情况说明</w:t>
      </w:r>
      <w:bookmarkEnd w:id="20"/>
      <w:bookmarkEnd w:id="21"/>
    </w:p>
    <w:p>
      <w:pPr>
        <w:spacing w:line="600" w:lineRule="exact"/>
        <w:ind w:firstLine="640" w:firstLineChars="200"/>
        <w:outlineLvl w:val="2"/>
        <w:rPr>
          <w:rFonts w:hint="eastAsia" w:ascii="仿宋_GB2312" w:hAnsi="仿宋_GB2312" w:eastAsia="仿宋_GB2312" w:cs="仿宋_GB2312"/>
          <w:sz w:val="32"/>
          <w:szCs w:val="32"/>
        </w:rPr>
      </w:pPr>
      <w:bookmarkStart w:id="22" w:name="_Toc13105"/>
      <w:bookmarkStart w:id="23" w:name="_Toc14519"/>
      <w:r>
        <w:rPr>
          <w:rFonts w:hint="eastAsia" w:ascii="仿宋_GB2312" w:hAnsi="仿宋_GB2312" w:eastAsia="仿宋_GB2312" w:cs="仿宋_GB2312"/>
          <w:sz w:val="32"/>
          <w:szCs w:val="32"/>
        </w:rPr>
        <w:t>（一）机关运行经费支出情况</w:t>
      </w:r>
      <w:bookmarkEnd w:id="22"/>
      <w:bookmarkEnd w:id="23"/>
    </w:p>
    <w:p>
      <w:pPr>
        <w:spacing w:line="600" w:lineRule="exact"/>
        <w:ind w:firstLine="640" w:firstLineChars="200"/>
        <w:rPr>
          <w:rFonts w:hint="eastAsia" w:ascii="仿宋_GB2312" w:hAnsi="仿宋_GB2312" w:eastAsia="仿宋_GB2312" w:cs="仿宋_GB2312"/>
          <w:sz w:val="32"/>
          <w:szCs w:val="32"/>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裕民县应急管理局（行政单位和参照公务员法管理事业单位）机关运行经费支出91.18万元，</w:t>
      </w:r>
      <w:r>
        <w:rPr>
          <w:rFonts w:hint="eastAsia" w:ascii="仿宋_GB2312" w:hAnsi="仿宋_GB2312" w:eastAsia="仿宋_GB2312" w:cs="仿宋_GB2312"/>
          <w:sz w:val="32"/>
          <w:szCs w:val="32"/>
          <w:lang w:val="zh-CN"/>
        </w:rPr>
        <w:t>比上年增加</w:t>
      </w:r>
      <w:r>
        <w:rPr>
          <w:rFonts w:hint="eastAsia" w:ascii="仿宋_GB2312" w:hAnsi="仿宋_GB2312" w:eastAsia="仿宋_GB2312" w:cs="仿宋_GB2312"/>
          <w:sz w:val="32"/>
          <w:szCs w:val="32"/>
          <w:lang w:val="en-US" w:eastAsia="zh-CN"/>
        </w:rPr>
        <w:t>51.88</w:t>
      </w:r>
      <w:r>
        <w:rPr>
          <w:rFonts w:hint="eastAsia" w:ascii="仿宋_GB2312" w:hAnsi="仿宋_GB2312" w:eastAsia="仿宋_GB2312" w:cs="仿宋_GB2312"/>
          <w:sz w:val="32"/>
          <w:szCs w:val="32"/>
          <w:lang w:val="zh-CN"/>
        </w:rPr>
        <w:t>万元，增长</w:t>
      </w:r>
      <w:r>
        <w:rPr>
          <w:rFonts w:hint="eastAsia" w:ascii="仿宋_GB2312" w:hAnsi="仿宋_GB2312" w:eastAsia="仿宋_GB2312" w:cs="仿宋_GB2312"/>
          <w:sz w:val="32"/>
          <w:szCs w:val="32"/>
          <w:lang w:val="en-US" w:eastAsia="zh-CN"/>
        </w:rPr>
        <w:t>132.02</w:t>
      </w:r>
      <w:r>
        <w:rPr>
          <w:rFonts w:hint="eastAsia" w:ascii="仿宋_GB2312" w:hAnsi="仿宋_GB2312" w:eastAsia="仿宋_GB2312" w:cs="仿宋_GB2312"/>
          <w:sz w:val="32"/>
          <w:szCs w:val="32"/>
          <w:lang w:val="zh-CN"/>
        </w:rPr>
        <w:t>%，主要原因是：新增</w:t>
      </w:r>
      <w:r>
        <w:rPr>
          <w:rFonts w:hint="eastAsia" w:ascii="仿宋_GB2312" w:hAnsi="仿宋_GB2312" w:eastAsia="仿宋_GB2312" w:cs="仿宋_GB2312"/>
          <w:sz w:val="32"/>
          <w:szCs w:val="32"/>
        </w:rPr>
        <w:t>本年安全生产专项经费。</w:t>
      </w:r>
    </w:p>
    <w:p>
      <w:pPr>
        <w:spacing w:line="600" w:lineRule="exact"/>
        <w:ind w:firstLine="640" w:firstLineChars="200"/>
        <w:outlineLvl w:val="2"/>
        <w:rPr>
          <w:rFonts w:hint="eastAsia" w:ascii="仿宋_GB2312" w:hAnsi="仿宋_GB2312" w:eastAsia="仿宋_GB2312" w:cs="仿宋_GB2312"/>
          <w:sz w:val="32"/>
          <w:szCs w:val="30"/>
          <w:lang w:val="zh-CN"/>
        </w:rPr>
      </w:pPr>
      <w:r>
        <w:rPr>
          <w:rFonts w:hint="eastAsia" w:ascii="仿宋_GB2312" w:hAnsi="仿宋_GB2312" w:eastAsia="仿宋_GB2312" w:cs="仿宋_GB2312"/>
          <w:sz w:val="32"/>
          <w:szCs w:val="30"/>
          <w:lang w:val="zh-CN"/>
        </w:rPr>
        <w:t>（二）政府采购情况</w:t>
      </w:r>
      <w:bookmarkEnd w:id="24"/>
      <w:bookmarkEnd w:id="25"/>
    </w:p>
    <w:p>
      <w:pPr>
        <w:spacing w:line="60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val="0"/>
          <w:bCs w:val="0"/>
          <w:sz w:val="32"/>
          <w:szCs w:val="32"/>
          <w:lang w:val="zh-CN"/>
        </w:rPr>
        <w:t>2023年度政府采购支出总额1,066.45万元，其中：政</w:t>
      </w:r>
      <w:r>
        <w:rPr>
          <w:rFonts w:hint="eastAsia" w:ascii="仿宋_GB2312" w:hAnsi="仿宋_GB2312" w:eastAsia="仿宋_GB2312" w:cs="仿宋_GB2312"/>
          <w:sz w:val="32"/>
          <w:szCs w:val="32"/>
          <w:lang w:val="zh-CN"/>
        </w:rPr>
        <w:t>府采购货物支出1,062.61万元、政府采购工程支出0.00万元、政府采购服务支出3.84万元。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授予中小企业合同金额1,066.45万元，占政府采购支出总额的100.00%，其中：授予小微企业合同金额1,066.45万元，占政府采购支出总额的100.00%</w:t>
      </w:r>
      <w:r>
        <w:rPr>
          <w:rFonts w:hint="eastAsia" w:ascii="仿宋_GB2312" w:hAnsi="仿宋_GB2312" w:eastAsia="仿宋_GB2312" w:cs="仿宋_GB2312"/>
          <w:sz w:val="32"/>
          <w:szCs w:val="32"/>
        </w:rPr>
        <w:t>。</w:t>
      </w:r>
    </w:p>
    <w:p>
      <w:pPr>
        <w:spacing w:line="600" w:lineRule="exact"/>
        <w:ind w:firstLine="640" w:firstLineChars="200"/>
        <w:outlineLvl w:val="2"/>
        <w:rPr>
          <w:rFonts w:hint="eastAsia" w:ascii="仿宋_GB2312" w:hAnsi="仿宋_GB2312" w:eastAsia="仿宋_GB2312" w:cs="仿宋_GB2312"/>
          <w:sz w:val="32"/>
          <w:szCs w:val="30"/>
          <w:lang w:val="zh-CN"/>
        </w:rPr>
      </w:pPr>
      <w:bookmarkStart w:id="26" w:name="_Toc4591"/>
      <w:bookmarkStart w:id="27" w:name="_Toc8391"/>
      <w:r>
        <w:rPr>
          <w:rFonts w:hint="eastAsia" w:ascii="仿宋_GB2312" w:hAnsi="仿宋_GB2312" w:eastAsia="仿宋_GB2312" w:cs="仿宋_GB2312"/>
          <w:sz w:val="32"/>
          <w:szCs w:val="30"/>
          <w:lang w:val="zh-CN"/>
        </w:rPr>
        <w:t>（三）国有资产占用情况说明</w:t>
      </w:r>
      <w:bookmarkEnd w:id="26"/>
      <w:bookmarkEnd w:id="27"/>
    </w:p>
    <w:p>
      <w:pPr>
        <w:spacing w:line="60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b w:val="0"/>
          <w:bCs w:val="0"/>
          <w:sz w:val="32"/>
          <w:szCs w:val="32"/>
        </w:rPr>
        <w:t>截至2023</w:t>
      </w:r>
      <w:r>
        <w:rPr>
          <w:rFonts w:hint="eastAsia" w:ascii="仿宋_GB2312" w:hAnsi="仿宋_GB2312" w:eastAsia="仿宋_GB2312" w:cs="仿宋_GB2312"/>
          <w:b w:val="0"/>
          <w:bCs w:val="0"/>
          <w:sz w:val="32"/>
          <w:szCs w:val="32"/>
          <w:lang w:val="zh-CN"/>
        </w:rPr>
        <w:t>年</w:t>
      </w:r>
      <w:r>
        <w:rPr>
          <w:rFonts w:hint="eastAsia" w:ascii="仿宋_GB2312" w:hAnsi="仿宋_GB2312" w:eastAsia="仿宋_GB2312" w:cs="仿宋_GB2312"/>
          <w:b w:val="0"/>
          <w:bCs w:val="0"/>
          <w:sz w:val="32"/>
          <w:szCs w:val="32"/>
        </w:rPr>
        <w:t>12月31日</w:t>
      </w:r>
      <w:r>
        <w:rPr>
          <w:rFonts w:hint="eastAsia" w:ascii="仿宋_GB2312" w:hAnsi="仿宋_GB2312" w:eastAsia="仿宋_GB2312" w:cs="仿宋_GB2312"/>
          <w:b w:val="0"/>
          <w:bCs w:val="0"/>
          <w:sz w:val="32"/>
          <w:szCs w:val="32"/>
          <w:lang w:val="zh-CN"/>
        </w:rPr>
        <w:t>，</w:t>
      </w:r>
      <w:r>
        <w:rPr>
          <w:rFonts w:hint="eastAsia" w:ascii="仿宋_GB2312" w:hAnsi="仿宋_GB2312" w:eastAsia="仿宋_GB2312" w:cs="仿宋_GB2312"/>
          <w:b w:val="0"/>
          <w:bCs w:val="0"/>
          <w:sz w:val="32"/>
          <w:szCs w:val="32"/>
        </w:rPr>
        <w:t>固定资产原值</w:t>
      </w:r>
      <w:r>
        <w:rPr>
          <w:rFonts w:hint="eastAsia" w:ascii="仿宋_GB2312" w:hAnsi="仿宋_GB2312" w:eastAsia="仿宋_GB2312" w:cs="仿宋_GB2312"/>
          <w:b w:val="0"/>
          <w:bCs w:val="0"/>
          <w:sz w:val="32"/>
          <w:szCs w:val="32"/>
          <w:lang w:val="zh-CN"/>
        </w:rPr>
        <w:t>4,524.97</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sz w:val="32"/>
          <w:szCs w:val="32"/>
        </w:rPr>
        <w:t>房</w:t>
      </w:r>
      <w:r>
        <w:rPr>
          <w:rFonts w:hint="eastAsia" w:ascii="仿宋_GB2312" w:hAnsi="仿宋_GB2312" w:eastAsia="仿宋_GB2312" w:cs="仿宋_GB2312"/>
          <w:sz w:val="32"/>
          <w:szCs w:val="32"/>
          <w:lang w:val="zh-CN"/>
        </w:rPr>
        <w:t>屋10,227.40平方米，价值2,811.71万元。车辆17辆，价值371.27万元，其中：副部（省）级及以上领导用车0辆、主要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用车0辆、机要通信用车0辆、应急保障用车6辆、执法执勤用车1辆、特种专业技术用车1辆、离退休干部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w:t>
      </w:r>
      <w:r>
        <w:rPr>
          <w:rFonts w:hint="eastAsia" w:ascii="仿宋_GB2312" w:hAnsi="仿宋_GB2312" w:eastAsia="仿宋_GB2312" w:cs="仿宋_GB2312"/>
          <w:sz w:val="32"/>
          <w:szCs w:val="32"/>
        </w:rPr>
        <w:t>洒水车5辆用于灭火、1辆运兵车用于救援，1辆皮卡车用于拉运装备、1辆高栏车用于救援物资、1辆BJ40用于救援救灾指挥用车</w:t>
      </w:r>
      <w:r>
        <w:rPr>
          <w:rFonts w:hint="eastAsia" w:ascii="仿宋_GB2312" w:hAnsi="仿宋_GB2312" w:eastAsia="仿宋_GB2312" w:cs="仿宋_GB2312"/>
          <w:sz w:val="32"/>
          <w:szCs w:val="32"/>
          <w:lang w:val="zh-CN"/>
        </w:rPr>
        <w:t>；单价100万元（含）以上设备（不含车辆）2</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w:t>
      </w:r>
    </w:p>
    <w:p>
      <w:pPr>
        <w:spacing w:line="600" w:lineRule="exact"/>
        <w:ind w:firstLine="643" w:firstLineChars="200"/>
        <w:outlineLvl w:val="1"/>
        <w:rPr>
          <w:rFonts w:hint="eastAsia" w:ascii="仿宋_GB2312" w:hAnsi="仿宋_GB2312" w:eastAsia="仿宋_GB2312" w:cs="仿宋_GB2312"/>
          <w:bCs/>
          <w:kern w:val="0"/>
          <w:sz w:val="32"/>
          <w:szCs w:val="32"/>
        </w:rPr>
      </w:pPr>
      <w:bookmarkStart w:id="28" w:name="_Toc435"/>
      <w:bookmarkStart w:id="29" w:name="_Toc11283"/>
      <w:r>
        <w:rPr>
          <w:rFonts w:hint="eastAsia" w:ascii="仿宋_GB2312" w:hAnsi="仿宋_GB2312" w:eastAsia="仿宋_GB2312" w:cs="仿宋_GB2312"/>
          <w:b/>
          <w:kern w:val="0"/>
          <w:sz w:val="32"/>
          <w:szCs w:val="32"/>
        </w:rPr>
        <w:t>十一、预算绩效的情况说明</w:t>
      </w:r>
      <w:bookmarkEnd w:id="28"/>
      <w:bookmarkEnd w:id="29"/>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根据预算绩效管理要求，我部门2023年度</w:t>
      </w:r>
      <w:r>
        <w:rPr>
          <w:rFonts w:hint="eastAsia" w:ascii="仿宋_GB2312" w:hAnsi="仿宋_GB2312" w:eastAsia="仿宋_GB2312" w:cs="仿宋_GB2312"/>
          <w:kern w:val="0"/>
          <w:sz w:val="32"/>
          <w:szCs w:val="32"/>
        </w:rPr>
        <w:t>预算绩效管理整体支出绩效自评表</w:t>
      </w:r>
      <w:r>
        <w:rPr>
          <w:rFonts w:hint="eastAsia" w:ascii="仿宋_GB2312" w:hAnsi="仿宋_GB2312" w:eastAsia="仿宋_GB2312" w:cs="仿宋_GB2312"/>
          <w:sz w:val="32"/>
          <w:szCs w:val="32"/>
        </w:rPr>
        <w:t>1</w:t>
      </w:r>
      <w:r>
        <w:rPr>
          <w:rFonts w:hint="eastAsia" w:ascii="仿宋_GB2312" w:hAnsi="仿宋_GB2312" w:eastAsia="仿宋_GB2312" w:cs="仿宋_GB2312"/>
          <w:kern w:val="0"/>
          <w:sz w:val="32"/>
          <w:szCs w:val="32"/>
        </w:rPr>
        <w:t>个，全年</w:t>
      </w:r>
      <w:r>
        <w:rPr>
          <w:rFonts w:hint="eastAsia" w:ascii="仿宋_GB2312" w:hAnsi="仿宋_GB2312" w:eastAsia="仿宋_GB2312" w:cs="仿宋_GB2312"/>
          <w:sz w:val="32"/>
          <w:szCs w:val="32"/>
        </w:rPr>
        <w:t>预</w:t>
      </w:r>
      <w:r>
        <w:rPr>
          <w:rFonts w:hint="eastAsia" w:ascii="仿宋_GB2312" w:hAnsi="仿宋_GB2312" w:eastAsia="仿宋_GB2312" w:cs="仿宋_GB2312"/>
          <w:kern w:val="0"/>
          <w:sz w:val="32"/>
          <w:szCs w:val="32"/>
        </w:rPr>
        <w:t>算总额2172.5</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万元，实际执行总额2172.55万元；预算绩效评价项目</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个，全年预算数</w:t>
      </w:r>
      <w:r>
        <w:rPr>
          <w:rFonts w:hint="eastAsia" w:ascii="仿宋_GB2312" w:hAnsi="仿宋_GB2312" w:eastAsia="仿宋_GB2312" w:cs="仿宋_GB2312"/>
          <w:kern w:val="0"/>
          <w:sz w:val="32"/>
          <w:szCs w:val="32"/>
          <w:lang w:val="en-US" w:eastAsia="zh-CN"/>
        </w:rPr>
        <w:t>2142.26</w:t>
      </w:r>
      <w:r>
        <w:rPr>
          <w:rFonts w:hint="eastAsia" w:ascii="仿宋_GB2312" w:hAnsi="仿宋_GB2312" w:eastAsia="仿宋_GB2312" w:cs="仿宋_GB2312"/>
          <w:kern w:val="0"/>
          <w:sz w:val="32"/>
          <w:szCs w:val="32"/>
        </w:rPr>
        <w:t>万元，全年执行数</w:t>
      </w:r>
      <w:r>
        <w:rPr>
          <w:rFonts w:hint="eastAsia" w:ascii="仿宋_GB2312" w:hAnsi="仿宋_GB2312" w:eastAsia="仿宋_GB2312" w:cs="仿宋_GB2312"/>
          <w:kern w:val="0"/>
          <w:sz w:val="32"/>
          <w:szCs w:val="32"/>
          <w:lang w:val="en-US" w:eastAsia="zh-CN"/>
        </w:rPr>
        <w:t>1624.21</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其中：</w:t>
      </w:r>
      <w:r>
        <w:rPr>
          <w:rFonts w:hint="eastAsia" w:ascii="仿宋_GB2312" w:hAnsi="仿宋_GB2312" w:eastAsia="仿宋_GB2312" w:cs="仿宋_GB2312"/>
          <w:kern w:val="0"/>
          <w:sz w:val="32"/>
          <w:szCs w:val="32"/>
        </w:rPr>
        <w:t>本单位涉密</w:t>
      </w:r>
      <w:r>
        <w:rPr>
          <w:rFonts w:hint="eastAsia" w:ascii="仿宋_GB2312" w:hAnsi="仿宋_GB2312" w:eastAsia="仿宋_GB2312" w:cs="仿宋_GB2312"/>
          <w:kern w:val="0"/>
          <w:sz w:val="32"/>
          <w:szCs w:val="32"/>
          <w:lang w:val="en-US" w:eastAsia="zh-CN"/>
        </w:rPr>
        <w:t>项目1个</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全年预算数为15.00万元，全年执行数为14.49万元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auto"/>
          <w:sz w:val="32"/>
          <w:szCs w:val="32"/>
          <w:highlight w:val="none"/>
          <w:lang w:val="en-US" w:eastAsia="zh-CN"/>
        </w:rPr>
        <w:t>不予公开项目绩效自评表。</w:t>
      </w:r>
      <w:r>
        <w:rPr>
          <w:rFonts w:hint="eastAsia" w:ascii="仿宋_GB2312" w:hAnsi="仿宋_GB2312" w:eastAsia="仿宋_GB2312" w:cs="仿宋_GB2312"/>
          <w:kern w:val="0"/>
          <w:sz w:val="32"/>
          <w:szCs w:val="32"/>
        </w:rPr>
        <w:t>预</w:t>
      </w:r>
      <w:r>
        <w:rPr>
          <w:rFonts w:hint="eastAsia" w:ascii="仿宋_GB2312" w:hAnsi="仿宋_GB2312" w:eastAsia="仿宋_GB2312" w:cs="仿宋_GB2312"/>
          <w:sz w:val="32"/>
          <w:szCs w:val="32"/>
        </w:rPr>
        <w:t>算绩效管理取得的成效：规范工作流程，绩效管理要求建立完善的绩效管理制度和流程，明确各部门和岗位的职责和工作标准。这有助于规范内部管理，提高工作的规范性和标准化程度。发现的问题及原因：1.本年度预算执行中存在的问题是公用经费预算不足，已远远不能适应实际工作的需要；2.科目使用不够规范，在会计处理过程中，偶尔会发生科目使用不规范、串用科目的情况。3.单位财务工作负荷明显增加。在部门预算、单位会计核算、财务报告等有关系统尚未实现一体化合并运行，各类业务数据无法从系统中自动提取的情况下，所有业务数据均需手工录入，单位财务人员的工作量明显增加。下一步改进措施：做好预算编制工作，进一步完善职工工资、福利费、社会保障费、住房公积金、公用经费等编制制度，科学合理确定人员支出定额和公用支出定额，确保财政资金安全有效使用，及时规划预决算填报及按时完成预决算公开工作。具体项目自评情况附绩效自评表及自评报告。</w:t>
      </w:r>
    </w:p>
    <w:p>
      <w:pPr>
        <w:spacing w:line="600" w:lineRule="exact"/>
        <w:ind w:firstLine="643" w:firstLineChars="200"/>
        <w:outlineLvl w:val="1"/>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十二、其他需说明的事项</w:t>
      </w:r>
    </w:p>
    <w:p>
      <w:pPr>
        <w:spacing w:line="600" w:lineRule="exact"/>
        <w:ind w:firstLine="640" w:firstLineChars="200"/>
        <w:rPr>
          <w:rFonts w:hint="eastAsia" w:ascii="仿宋_GB2312" w:hAnsi="仿宋_GB2312" w:eastAsia="仿宋_GB2312" w:cs="仿宋_GB2312"/>
          <w:kern w:val="0"/>
          <w:sz w:val="32"/>
          <w:szCs w:val="32"/>
        </w:rPr>
      </w:pPr>
      <w:bookmarkStart w:id="30" w:name="_Toc3250"/>
      <w:bookmarkStart w:id="31" w:name="_Toc24143"/>
      <w:r>
        <w:rPr>
          <w:rFonts w:hint="eastAsia" w:ascii="仿宋_GB2312" w:hAnsi="仿宋_GB2312" w:eastAsia="仿宋_GB2312" w:cs="仿宋_GB2312"/>
          <w:kern w:val="0"/>
          <w:sz w:val="32"/>
          <w:szCs w:val="32"/>
        </w:rPr>
        <w:t>本单位有涉密项目1个，全年预算数为15.00万元，全年执行数为14.49万元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auto"/>
          <w:sz w:val="32"/>
          <w:szCs w:val="32"/>
          <w:highlight w:val="none"/>
          <w:lang w:val="en-US" w:eastAsia="zh-CN"/>
        </w:rPr>
        <w:t>不予公开项目绩效自评表。</w:t>
      </w:r>
      <w:bookmarkStart w:id="48" w:name="_GoBack"/>
      <w:bookmarkEnd w:id="48"/>
    </w:p>
    <w:p>
      <w:pPr>
        <w:spacing w:line="600" w:lineRule="exac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r>
        <w:rPr>
          <w:rFonts w:hint="eastAsia" w:ascii="仿宋_GB2312" w:hAnsi="仿宋_GB2312" w:eastAsia="仿宋_GB2312" w:cs="仿宋_GB2312"/>
          <w:sz w:val="32"/>
          <w:szCs w:val="32"/>
        </w:rPr>
        <w:t>第三部分 专业名词解释</w:t>
      </w:r>
      <w:bookmarkEnd w:id="30"/>
      <w:bookmarkEnd w:id="31"/>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一、财政拨款收入：</w:t>
      </w:r>
      <w:r>
        <w:rPr>
          <w:rFonts w:hint="eastAsia" w:ascii="仿宋_GB2312" w:hAnsi="仿宋_GB2312" w:eastAsia="仿宋_GB2312" w:cs="仿宋_GB2312"/>
          <w:sz w:val="32"/>
          <w:szCs w:val="32"/>
        </w:rPr>
        <w:t>指同级财政当年拨付的资金。</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二、上级补助收入：</w:t>
      </w:r>
      <w:r>
        <w:rPr>
          <w:rFonts w:hint="eastAsia" w:ascii="仿宋_GB2312" w:hAnsi="仿宋_GB2312" w:eastAsia="仿宋_GB2312" w:cs="仿宋_GB2312"/>
          <w:sz w:val="32"/>
          <w:szCs w:val="32"/>
        </w:rPr>
        <w:t>指事业单位从主管部门和上级单位取得的非财政补助收入。</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三、事业收入：</w:t>
      </w:r>
      <w:r>
        <w:rPr>
          <w:rFonts w:hint="eastAsia" w:ascii="仿宋_GB2312" w:hAnsi="仿宋_GB2312" w:eastAsia="仿宋_GB2312" w:cs="仿宋_GB2312"/>
          <w:sz w:val="32"/>
          <w:szCs w:val="32"/>
        </w:rPr>
        <w:t>指事业单位开展专业业务活动及其辅助活动所取得的收入。</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四、经营收入：</w:t>
      </w:r>
      <w:r>
        <w:rPr>
          <w:rFonts w:hint="eastAsia" w:ascii="仿宋_GB2312" w:hAnsi="仿宋_GB2312" w:eastAsia="仿宋_GB2312" w:cs="仿宋_GB2312"/>
          <w:sz w:val="32"/>
          <w:szCs w:val="32"/>
        </w:rPr>
        <w:t>指事业单位在专业业务活动及其辅助活动之外开展非独立核算经营活动取得的收入。</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五、附属单位上缴收入：</w:t>
      </w:r>
      <w:r>
        <w:rPr>
          <w:rFonts w:hint="eastAsia" w:ascii="仿宋_GB2312" w:hAnsi="仿宋_GB2312" w:eastAsia="仿宋_GB2312" w:cs="仿宋_GB2312"/>
          <w:sz w:val="32"/>
          <w:szCs w:val="32"/>
        </w:rPr>
        <w:t>指事业单位附属的独立核算单位按有关规定上缴的收入。</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六、其他收入：</w:t>
      </w:r>
      <w:r>
        <w:rPr>
          <w:rFonts w:hint="eastAsia" w:ascii="仿宋_GB2312" w:hAnsi="仿宋_GB2312" w:eastAsia="仿宋_GB2312" w:cs="仿宋_GB2312"/>
          <w:sz w:val="32"/>
          <w:szCs w:val="32"/>
        </w:rPr>
        <w:t>指除上述“财政拨款收入”、“事业收入”、“经营收入”、“附属单位上缴收入”等之外取得的收入。</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七、年初结转和结余：</w:t>
      </w:r>
      <w:r>
        <w:rPr>
          <w:rFonts w:hint="eastAsia" w:ascii="仿宋_GB2312" w:hAnsi="仿宋_GB2312" w:eastAsia="仿宋_GB2312" w:cs="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八、年末结转和结余：</w:t>
      </w:r>
      <w:r>
        <w:rPr>
          <w:rFonts w:hint="eastAsia" w:ascii="仿宋_GB2312" w:hAnsi="仿宋_GB2312" w:eastAsia="仿宋_GB2312" w:cs="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九、基本支出：</w:t>
      </w:r>
      <w:r>
        <w:rPr>
          <w:rFonts w:hint="eastAsia" w:ascii="仿宋_GB2312" w:hAnsi="仿宋_GB2312" w:eastAsia="仿宋_GB2312" w:cs="仿宋_GB2312"/>
          <w:sz w:val="32"/>
          <w:szCs w:val="32"/>
        </w:rPr>
        <w:t>指为保障机构正常运转、完成日常工作任务而发生的人员支出和公用支出。</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十、项目支出：</w:t>
      </w:r>
      <w:r>
        <w:rPr>
          <w:rFonts w:hint="eastAsia" w:ascii="仿宋_GB2312" w:hAnsi="仿宋_GB2312" w:eastAsia="仿宋_GB2312" w:cs="仿宋_GB2312"/>
          <w:sz w:val="32"/>
          <w:szCs w:val="32"/>
        </w:rPr>
        <w:t>指在基本支出之外为完成特定行政任务和事业发展目标所发生的支出。</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十一、经营支出：</w:t>
      </w:r>
      <w:r>
        <w:rPr>
          <w:rFonts w:hint="eastAsia" w:ascii="仿宋_GB2312" w:hAnsi="仿宋_GB2312" w:eastAsia="仿宋_GB2312" w:cs="仿宋_GB2312"/>
          <w:sz w:val="32"/>
          <w:szCs w:val="32"/>
        </w:rPr>
        <w:t>指事业单位在专业业务活动及其辅助活动之外开展非独立核算经营活动发生的支出。</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十二、对附属单位补助支出：</w:t>
      </w:r>
      <w:r>
        <w:rPr>
          <w:rFonts w:hint="eastAsia" w:ascii="仿宋_GB2312" w:hAnsi="仿宋_GB2312" w:eastAsia="仿宋_GB2312" w:cs="仿宋_GB2312"/>
          <w:sz w:val="32"/>
          <w:szCs w:val="32"/>
        </w:rPr>
        <w:t>指事业单位发生的用非财政预算资金对附属单位的补助支出。</w:t>
      </w:r>
    </w:p>
    <w:p>
      <w:pPr>
        <w:autoSpaceDE w:val="0"/>
        <w:autoSpaceDN w:val="0"/>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十三、“三公”经费：</w:t>
      </w:r>
      <w:r>
        <w:rPr>
          <w:rFonts w:hint="eastAsia" w:ascii="仿宋_GB2312" w:hAnsi="仿宋_GB2312" w:eastAsia="仿宋_GB2312" w:cs="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十四、机关运行经费：</w:t>
      </w:r>
      <w:r>
        <w:rPr>
          <w:rFonts w:hint="eastAsia" w:ascii="仿宋_GB2312" w:hAnsi="仿宋_GB2312" w:eastAsia="仿宋_GB2312" w:cs="仿宋_GB2312"/>
          <w:sz w:val="32"/>
          <w:szCs w:val="32"/>
        </w:rPr>
        <w:t>行政单位和参照公务员法管理的事业单位财政拨款基本支出中的公用经费支出。</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r>
        <w:rPr>
          <w:rFonts w:hint="eastAsia" w:ascii="仿宋_GB2312" w:hAnsi="仿宋_GB2312" w:eastAsia="仿宋_GB2312" w:cs="仿宋_GB2312"/>
          <w:sz w:val="32"/>
          <w:szCs w:val="32"/>
        </w:rPr>
        <w:t>第四部分 部门决算报表（见附表）</w:t>
      </w:r>
    </w:p>
    <w:p>
      <w:pPr>
        <w:spacing w:line="600" w:lineRule="exact"/>
        <w:ind w:firstLine="640" w:firstLineChars="200"/>
        <w:outlineLvl w:val="1"/>
        <w:rPr>
          <w:rFonts w:hint="eastAsia" w:ascii="仿宋_GB2312" w:hAnsi="仿宋_GB2312" w:eastAsia="仿宋_GB2312" w:cs="仿宋_GB2312"/>
          <w:bCs/>
          <w:kern w:val="0"/>
          <w:sz w:val="32"/>
          <w:szCs w:val="32"/>
        </w:rPr>
      </w:pPr>
      <w:bookmarkStart w:id="32" w:name="_Toc2183"/>
      <w:bookmarkStart w:id="33" w:name="_Toc6062"/>
      <w:r>
        <w:rPr>
          <w:rFonts w:hint="eastAsia" w:ascii="仿宋_GB2312" w:hAnsi="仿宋_GB2312" w:eastAsia="仿宋_GB2312" w:cs="仿宋_GB2312"/>
          <w:bCs/>
          <w:kern w:val="0"/>
          <w:sz w:val="32"/>
          <w:szCs w:val="32"/>
        </w:rPr>
        <w:t>一、《收入支出决算总表》</w:t>
      </w:r>
      <w:bookmarkEnd w:id="32"/>
      <w:bookmarkEnd w:id="33"/>
    </w:p>
    <w:p>
      <w:pPr>
        <w:spacing w:line="600" w:lineRule="exact"/>
        <w:ind w:firstLine="640" w:firstLineChars="200"/>
        <w:outlineLvl w:val="1"/>
        <w:rPr>
          <w:rFonts w:hint="eastAsia" w:ascii="仿宋_GB2312" w:hAnsi="仿宋_GB2312" w:eastAsia="仿宋_GB2312" w:cs="仿宋_GB2312"/>
          <w:bCs/>
          <w:kern w:val="0"/>
          <w:sz w:val="32"/>
          <w:szCs w:val="32"/>
        </w:rPr>
      </w:pPr>
      <w:bookmarkStart w:id="34" w:name="_Toc24532"/>
      <w:bookmarkStart w:id="35" w:name="_Toc30364"/>
      <w:r>
        <w:rPr>
          <w:rFonts w:hint="eastAsia" w:ascii="仿宋_GB2312" w:hAnsi="仿宋_GB2312" w:eastAsia="仿宋_GB2312" w:cs="仿宋_GB2312"/>
          <w:bCs/>
          <w:kern w:val="0"/>
          <w:sz w:val="32"/>
          <w:szCs w:val="32"/>
        </w:rPr>
        <w:t>二、《收入决算表》</w:t>
      </w:r>
      <w:bookmarkEnd w:id="34"/>
      <w:bookmarkEnd w:id="35"/>
    </w:p>
    <w:p>
      <w:pPr>
        <w:spacing w:line="600" w:lineRule="exact"/>
        <w:ind w:firstLine="640" w:firstLineChars="200"/>
        <w:outlineLvl w:val="1"/>
        <w:rPr>
          <w:rFonts w:hint="eastAsia" w:ascii="仿宋_GB2312" w:hAnsi="仿宋_GB2312" w:eastAsia="仿宋_GB2312" w:cs="仿宋_GB2312"/>
          <w:bCs/>
          <w:kern w:val="0"/>
          <w:sz w:val="32"/>
          <w:szCs w:val="32"/>
        </w:rPr>
      </w:pPr>
      <w:bookmarkStart w:id="36" w:name="_Toc21304"/>
      <w:bookmarkStart w:id="37" w:name="_Toc32434"/>
      <w:r>
        <w:rPr>
          <w:rFonts w:hint="eastAsia" w:ascii="仿宋_GB2312" w:hAnsi="仿宋_GB2312" w:eastAsia="仿宋_GB2312" w:cs="仿宋_GB2312"/>
          <w:bCs/>
          <w:kern w:val="0"/>
          <w:sz w:val="32"/>
          <w:szCs w:val="32"/>
        </w:rPr>
        <w:t>三、《支出决算表》</w:t>
      </w:r>
      <w:bookmarkEnd w:id="36"/>
      <w:bookmarkEnd w:id="37"/>
    </w:p>
    <w:p>
      <w:pPr>
        <w:spacing w:line="600" w:lineRule="exact"/>
        <w:ind w:firstLine="640" w:firstLineChars="200"/>
        <w:outlineLvl w:val="1"/>
        <w:rPr>
          <w:rFonts w:hint="eastAsia" w:ascii="仿宋_GB2312" w:hAnsi="仿宋_GB2312" w:eastAsia="仿宋_GB2312" w:cs="仿宋_GB2312"/>
          <w:bCs/>
          <w:kern w:val="0"/>
          <w:sz w:val="32"/>
          <w:szCs w:val="32"/>
        </w:rPr>
      </w:pPr>
      <w:bookmarkStart w:id="38" w:name="_Toc28786"/>
      <w:bookmarkStart w:id="39" w:name="_Toc14238"/>
      <w:r>
        <w:rPr>
          <w:rFonts w:hint="eastAsia" w:ascii="仿宋_GB2312" w:hAnsi="仿宋_GB2312" w:eastAsia="仿宋_GB2312" w:cs="仿宋_GB2312"/>
          <w:bCs/>
          <w:kern w:val="0"/>
          <w:sz w:val="32"/>
          <w:szCs w:val="32"/>
        </w:rPr>
        <w:t>四、《财政拨款收入支出决算总表》</w:t>
      </w:r>
      <w:bookmarkEnd w:id="38"/>
      <w:bookmarkEnd w:id="39"/>
    </w:p>
    <w:p>
      <w:pPr>
        <w:spacing w:line="600" w:lineRule="exact"/>
        <w:ind w:firstLine="640" w:firstLineChars="200"/>
        <w:outlineLvl w:val="1"/>
        <w:rPr>
          <w:rFonts w:hint="eastAsia" w:ascii="仿宋_GB2312" w:hAnsi="仿宋_GB2312" w:eastAsia="仿宋_GB2312" w:cs="仿宋_GB2312"/>
          <w:bCs/>
          <w:kern w:val="0"/>
          <w:sz w:val="32"/>
          <w:szCs w:val="32"/>
        </w:rPr>
      </w:pPr>
      <w:bookmarkStart w:id="40" w:name="_Toc14869"/>
      <w:bookmarkStart w:id="41" w:name="_Toc10347"/>
      <w:r>
        <w:rPr>
          <w:rFonts w:hint="eastAsia" w:ascii="仿宋_GB2312" w:hAnsi="仿宋_GB2312" w:eastAsia="仿宋_GB2312" w:cs="仿宋_GB2312"/>
          <w:bCs/>
          <w:kern w:val="0"/>
          <w:sz w:val="32"/>
          <w:szCs w:val="32"/>
        </w:rPr>
        <w:t>五、《一般公共预算财政拨款支出决算表》</w:t>
      </w:r>
      <w:bookmarkEnd w:id="40"/>
      <w:bookmarkEnd w:id="41"/>
    </w:p>
    <w:p>
      <w:pPr>
        <w:spacing w:line="600" w:lineRule="exact"/>
        <w:ind w:firstLine="640" w:firstLineChars="200"/>
        <w:outlineLvl w:val="1"/>
        <w:rPr>
          <w:rFonts w:hint="eastAsia" w:ascii="仿宋_GB2312" w:hAnsi="仿宋_GB2312" w:eastAsia="仿宋_GB2312" w:cs="仿宋_GB2312"/>
          <w:bCs/>
          <w:kern w:val="0"/>
          <w:sz w:val="32"/>
          <w:szCs w:val="32"/>
        </w:rPr>
      </w:pPr>
      <w:bookmarkStart w:id="42" w:name="_Toc5626"/>
      <w:bookmarkStart w:id="43" w:name="_Toc8884"/>
      <w:r>
        <w:rPr>
          <w:rFonts w:hint="eastAsia" w:ascii="仿宋_GB2312" w:hAnsi="仿宋_GB2312" w:eastAsia="仿宋_GB2312" w:cs="仿宋_GB2312"/>
          <w:bCs/>
          <w:kern w:val="0"/>
          <w:sz w:val="32"/>
          <w:szCs w:val="32"/>
        </w:rPr>
        <w:t>六、《一般公共预算财政拨款基本支出决算表》</w:t>
      </w:r>
      <w:bookmarkEnd w:id="42"/>
      <w:bookmarkEnd w:id="43"/>
    </w:p>
    <w:p>
      <w:pPr>
        <w:spacing w:line="600" w:lineRule="exact"/>
        <w:ind w:firstLine="640"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4" w:name="_Toc29106"/>
      <w:bookmarkStart w:id="45" w:name="_Toc32663"/>
      <w:r>
        <w:rPr>
          <w:rFonts w:hint="eastAsia" w:ascii="仿宋_GB2312" w:hAnsi="仿宋_GB2312" w:eastAsia="仿宋_GB2312" w:cs="仿宋_GB2312"/>
          <w:bCs/>
          <w:kern w:val="0"/>
          <w:sz w:val="32"/>
          <w:szCs w:val="32"/>
        </w:rPr>
        <w:t>《财政拨款“三公”经费支出决算表》</w:t>
      </w:r>
      <w:bookmarkEnd w:id="44"/>
      <w:bookmarkEnd w:id="45"/>
    </w:p>
    <w:p>
      <w:pPr>
        <w:spacing w:line="600" w:lineRule="exact"/>
        <w:ind w:firstLine="640" w:firstLineChars="200"/>
        <w:outlineLvl w:val="1"/>
        <w:rPr>
          <w:rFonts w:hint="eastAsia" w:ascii="仿宋_GB2312" w:hAnsi="仿宋_GB2312" w:eastAsia="仿宋_GB2312" w:cs="仿宋_GB2312"/>
          <w:bCs/>
          <w:kern w:val="0"/>
          <w:sz w:val="32"/>
          <w:szCs w:val="32"/>
        </w:rPr>
      </w:pPr>
      <w:bookmarkStart w:id="46" w:name="_Toc7643"/>
      <w:bookmarkStart w:id="47" w:name="_Toc5453"/>
      <w:r>
        <w:rPr>
          <w:rFonts w:hint="eastAsia" w:ascii="仿宋_GB2312" w:hAnsi="仿宋_GB2312" w:eastAsia="仿宋_GB2312" w:cs="仿宋_GB2312"/>
          <w:bCs/>
          <w:kern w:val="0"/>
          <w:sz w:val="32"/>
          <w:szCs w:val="32"/>
        </w:rPr>
        <w:t>八、《政府性基金预算财政拨款收入支出决算表》</w:t>
      </w:r>
      <w:bookmarkEnd w:id="46"/>
      <w:bookmarkEnd w:id="47"/>
    </w:p>
    <w:p>
      <w:pPr>
        <w:spacing w:line="600" w:lineRule="exact"/>
        <w:ind w:firstLine="640" w:firstLineChars="200"/>
        <w:outlineLvl w:val="1"/>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outlineLvl w:val="1"/>
        <w:rPr>
          <w:rFonts w:hint="eastAsia" w:ascii="仿宋_GB2312" w:hAnsi="仿宋_GB2312" w:eastAsia="仿宋_GB2312" w:cs="仿宋_GB2312"/>
          <w:bCs/>
          <w:kern w:val="0"/>
          <w:sz w:val="32"/>
          <w:szCs w:val="32"/>
        </w:rPr>
      </w:pP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F32179"/>
    <w:rsid w:val="00097C3C"/>
    <w:rsid w:val="001655D5"/>
    <w:rsid w:val="00213C59"/>
    <w:rsid w:val="003210CE"/>
    <w:rsid w:val="00676368"/>
    <w:rsid w:val="008D46EE"/>
    <w:rsid w:val="00946DEC"/>
    <w:rsid w:val="00B70D59"/>
    <w:rsid w:val="00F32179"/>
    <w:rsid w:val="00F52A8D"/>
    <w:rsid w:val="019404F8"/>
    <w:rsid w:val="01B75B97"/>
    <w:rsid w:val="02BD3108"/>
    <w:rsid w:val="02F73D26"/>
    <w:rsid w:val="034D4FEF"/>
    <w:rsid w:val="035D1785"/>
    <w:rsid w:val="039F47CE"/>
    <w:rsid w:val="03BD1F74"/>
    <w:rsid w:val="03E05CE8"/>
    <w:rsid w:val="03F973EE"/>
    <w:rsid w:val="0433151E"/>
    <w:rsid w:val="043E5B56"/>
    <w:rsid w:val="04C04386"/>
    <w:rsid w:val="04D96608"/>
    <w:rsid w:val="04FA68C4"/>
    <w:rsid w:val="053F5AE6"/>
    <w:rsid w:val="057C0B0F"/>
    <w:rsid w:val="05835ABC"/>
    <w:rsid w:val="05EF4B48"/>
    <w:rsid w:val="05F76ECA"/>
    <w:rsid w:val="06792773"/>
    <w:rsid w:val="07093795"/>
    <w:rsid w:val="07804730"/>
    <w:rsid w:val="079052BE"/>
    <w:rsid w:val="07F11740"/>
    <w:rsid w:val="08145C21"/>
    <w:rsid w:val="08422688"/>
    <w:rsid w:val="085854ED"/>
    <w:rsid w:val="0879188F"/>
    <w:rsid w:val="08A0354D"/>
    <w:rsid w:val="08CD4C49"/>
    <w:rsid w:val="09114954"/>
    <w:rsid w:val="09255802"/>
    <w:rsid w:val="0955065B"/>
    <w:rsid w:val="095A5B83"/>
    <w:rsid w:val="096466E3"/>
    <w:rsid w:val="0968304D"/>
    <w:rsid w:val="09AF3D17"/>
    <w:rsid w:val="0A7809B7"/>
    <w:rsid w:val="0A7B4867"/>
    <w:rsid w:val="0A840954"/>
    <w:rsid w:val="0A9928ED"/>
    <w:rsid w:val="0AA94058"/>
    <w:rsid w:val="0B61769D"/>
    <w:rsid w:val="0B8C3ECC"/>
    <w:rsid w:val="0B9C639D"/>
    <w:rsid w:val="0BB052B2"/>
    <w:rsid w:val="0BD33FFC"/>
    <w:rsid w:val="0BDC7CFD"/>
    <w:rsid w:val="0BE97AC1"/>
    <w:rsid w:val="0C1C4780"/>
    <w:rsid w:val="0C3613A3"/>
    <w:rsid w:val="0C5E519C"/>
    <w:rsid w:val="0C7227A7"/>
    <w:rsid w:val="0CA52EE8"/>
    <w:rsid w:val="0CBD6988"/>
    <w:rsid w:val="0CD208AC"/>
    <w:rsid w:val="0CE9606D"/>
    <w:rsid w:val="0D3F48B9"/>
    <w:rsid w:val="0D4903E8"/>
    <w:rsid w:val="0D5B1904"/>
    <w:rsid w:val="0D7A4A46"/>
    <w:rsid w:val="0E640559"/>
    <w:rsid w:val="0F1113DA"/>
    <w:rsid w:val="0F78534A"/>
    <w:rsid w:val="0F89358A"/>
    <w:rsid w:val="0F8B7ACA"/>
    <w:rsid w:val="0F8C6D51"/>
    <w:rsid w:val="0FE503EC"/>
    <w:rsid w:val="105B0B5E"/>
    <w:rsid w:val="10A20F7F"/>
    <w:rsid w:val="112E58D0"/>
    <w:rsid w:val="11731CAC"/>
    <w:rsid w:val="119500A0"/>
    <w:rsid w:val="11C0733B"/>
    <w:rsid w:val="11D50D17"/>
    <w:rsid w:val="120E0809"/>
    <w:rsid w:val="127F665A"/>
    <w:rsid w:val="12F7068C"/>
    <w:rsid w:val="13D86F18"/>
    <w:rsid w:val="14207DC0"/>
    <w:rsid w:val="147D6296"/>
    <w:rsid w:val="14B932DA"/>
    <w:rsid w:val="150A66AF"/>
    <w:rsid w:val="15455C1E"/>
    <w:rsid w:val="154C1139"/>
    <w:rsid w:val="158C5B77"/>
    <w:rsid w:val="15FC1022"/>
    <w:rsid w:val="160D1149"/>
    <w:rsid w:val="163563C0"/>
    <w:rsid w:val="164315EF"/>
    <w:rsid w:val="16557DFE"/>
    <w:rsid w:val="167268FB"/>
    <w:rsid w:val="16770D0A"/>
    <w:rsid w:val="16D50C50"/>
    <w:rsid w:val="16E120E1"/>
    <w:rsid w:val="17385A05"/>
    <w:rsid w:val="173B3901"/>
    <w:rsid w:val="176747F9"/>
    <w:rsid w:val="17954A6E"/>
    <w:rsid w:val="179F34CE"/>
    <w:rsid w:val="17FE6EB1"/>
    <w:rsid w:val="180059E9"/>
    <w:rsid w:val="184510FD"/>
    <w:rsid w:val="18596E84"/>
    <w:rsid w:val="190648B0"/>
    <w:rsid w:val="19071D6C"/>
    <w:rsid w:val="192C7B20"/>
    <w:rsid w:val="19D26CD4"/>
    <w:rsid w:val="19E60D19"/>
    <w:rsid w:val="1A3E3450"/>
    <w:rsid w:val="1A4B797B"/>
    <w:rsid w:val="1AD807E5"/>
    <w:rsid w:val="1B39345B"/>
    <w:rsid w:val="1B582880"/>
    <w:rsid w:val="1BFB2A1F"/>
    <w:rsid w:val="1C015D4A"/>
    <w:rsid w:val="1C290ED5"/>
    <w:rsid w:val="1C317E4F"/>
    <w:rsid w:val="1C472464"/>
    <w:rsid w:val="1CAF0A15"/>
    <w:rsid w:val="1D22799A"/>
    <w:rsid w:val="1D402A5D"/>
    <w:rsid w:val="1D5C1A72"/>
    <w:rsid w:val="1DAF458D"/>
    <w:rsid w:val="1DF74386"/>
    <w:rsid w:val="1E086ACE"/>
    <w:rsid w:val="1E62130A"/>
    <w:rsid w:val="1E97358B"/>
    <w:rsid w:val="1EAA4A5F"/>
    <w:rsid w:val="1EE869A7"/>
    <w:rsid w:val="1F0A78C6"/>
    <w:rsid w:val="1F266E47"/>
    <w:rsid w:val="1F2937BE"/>
    <w:rsid w:val="1FA15E62"/>
    <w:rsid w:val="1FED69B6"/>
    <w:rsid w:val="204A732E"/>
    <w:rsid w:val="2064678E"/>
    <w:rsid w:val="20657E1A"/>
    <w:rsid w:val="20DC1AB9"/>
    <w:rsid w:val="20DD6197"/>
    <w:rsid w:val="20EE6F0C"/>
    <w:rsid w:val="212631E0"/>
    <w:rsid w:val="21A53757"/>
    <w:rsid w:val="221236C6"/>
    <w:rsid w:val="22D7662C"/>
    <w:rsid w:val="230E1492"/>
    <w:rsid w:val="23326B7F"/>
    <w:rsid w:val="2380045B"/>
    <w:rsid w:val="23BC04D2"/>
    <w:rsid w:val="23EF1892"/>
    <w:rsid w:val="2483647E"/>
    <w:rsid w:val="24A32D55"/>
    <w:rsid w:val="251C6FFB"/>
    <w:rsid w:val="25292727"/>
    <w:rsid w:val="252E5CA9"/>
    <w:rsid w:val="2531195F"/>
    <w:rsid w:val="256F7692"/>
    <w:rsid w:val="25772056"/>
    <w:rsid w:val="25BA2154"/>
    <w:rsid w:val="25C8773F"/>
    <w:rsid w:val="264A7253"/>
    <w:rsid w:val="26F0170C"/>
    <w:rsid w:val="27201D62"/>
    <w:rsid w:val="27286E73"/>
    <w:rsid w:val="27CF2642"/>
    <w:rsid w:val="27E777F5"/>
    <w:rsid w:val="27EA1D4C"/>
    <w:rsid w:val="27EA2E41"/>
    <w:rsid w:val="282459E2"/>
    <w:rsid w:val="283A7FE5"/>
    <w:rsid w:val="285F51FF"/>
    <w:rsid w:val="286733B0"/>
    <w:rsid w:val="28DF2665"/>
    <w:rsid w:val="29072599"/>
    <w:rsid w:val="291029F3"/>
    <w:rsid w:val="29CB58F0"/>
    <w:rsid w:val="2A053397"/>
    <w:rsid w:val="2A145E96"/>
    <w:rsid w:val="2A2131BB"/>
    <w:rsid w:val="2AF5378F"/>
    <w:rsid w:val="2BB94DBF"/>
    <w:rsid w:val="2C6F314E"/>
    <w:rsid w:val="2CC206BE"/>
    <w:rsid w:val="2CD95A64"/>
    <w:rsid w:val="2D1136DF"/>
    <w:rsid w:val="2D20606D"/>
    <w:rsid w:val="2DAA47FD"/>
    <w:rsid w:val="2DB87198"/>
    <w:rsid w:val="2DB93C54"/>
    <w:rsid w:val="2E3D144C"/>
    <w:rsid w:val="2E891204"/>
    <w:rsid w:val="2F3F0A28"/>
    <w:rsid w:val="2FBF7029"/>
    <w:rsid w:val="2FD0187F"/>
    <w:rsid w:val="2FD27414"/>
    <w:rsid w:val="2FFE4BB0"/>
    <w:rsid w:val="300E7B60"/>
    <w:rsid w:val="300F6E18"/>
    <w:rsid w:val="30862F5F"/>
    <w:rsid w:val="314029C9"/>
    <w:rsid w:val="3145288C"/>
    <w:rsid w:val="31C63837"/>
    <w:rsid w:val="31C82E39"/>
    <w:rsid w:val="32432DED"/>
    <w:rsid w:val="324D3E82"/>
    <w:rsid w:val="32601BAD"/>
    <w:rsid w:val="329F6389"/>
    <w:rsid w:val="3389023A"/>
    <w:rsid w:val="33CB74FA"/>
    <w:rsid w:val="34122B0A"/>
    <w:rsid w:val="343642F2"/>
    <w:rsid w:val="343F3010"/>
    <w:rsid w:val="345D0A00"/>
    <w:rsid w:val="34713BFD"/>
    <w:rsid w:val="34935617"/>
    <w:rsid w:val="34C13589"/>
    <w:rsid w:val="353369E3"/>
    <w:rsid w:val="35E00D72"/>
    <w:rsid w:val="36965B9D"/>
    <w:rsid w:val="36C549FD"/>
    <w:rsid w:val="37A755DD"/>
    <w:rsid w:val="37F94FA0"/>
    <w:rsid w:val="380D3381"/>
    <w:rsid w:val="38115B1F"/>
    <w:rsid w:val="385E3AC3"/>
    <w:rsid w:val="387D6B9E"/>
    <w:rsid w:val="38B75FF0"/>
    <w:rsid w:val="38D45016"/>
    <w:rsid w:val="38D90432"/>
    <w:rsid w:val="38F9525F"/>
    <w:rsid w:val="3914510A"/>
    <w:rsid w:val="3926770B"/>
    <w:rsid w:val="398D3668"/>
    <w:rsid w:val="39DA0497"/>
    <w:rsid w:val="3A297662"/>
    <w:rsid w:val="3A893816"/>
    <w:rsid w:val="3A893B6D"/>
    <w:rsid w:val="3AD1763A"/>
    <w:rsid w:val="3B6716E3"/>
    <w:rsid w:val="3B6C6B2D"/>
    <w:rsid w:val="3BFA0F93"/>
    <w:rsid w:val="3C242659"/>
    <w:rsid w:val="3C96719C"/>
    <w:rsid w:val="3C9D0BB4"/>
    <w:rsid w:val="3CA72BE8"/>
    <w:rsid w:val="3CF37F8C"/>
    <w:rsid w:val="3D137554"/>
    <w:rsid w:val="3D303E44"/>
    <w:rsid w:val="3D4454FE"/>
    <w:rsid w:val="3D5275AC"/>
    <w:rsid w:val="3DCC2473"/>
    <w:rsid w:val="3DEB0883"/>
    <w:rsid w:val="3E2527BF"/>
    <w:rsid w:val="3E674B0C"/>
    <w:rsid w:val="3E731662"/>
    <w:rsid w:val="3E8168DD"/>
    <w:rsid w:val="3EA7725F"/>
    <w:rsid w:val="3EB03713"/>
    <w:rsid w:val="3EBF1A11"/>
    <w:rsid w:val="3EC52607"/>
    <w:rsid w:val="3EEC6CEF"/>
    <w:rsid w:val="3F1707A1"/>
    <w:rsid w:val="3F183429"/>
    <w:rsid w:val="3FB77A1D"/>
    <w:rsid w:val="3FDC3674"/>
    <w:rsid w:val="3FED7F8A"/>
    <w:rsid w:val="40094AEF"/>
    <w:rsid w:val="405470BD"/>
    <w:rsid w:val="40794A29"/>
    <w:rsid w:val="40834692"/>
    <w:rsid w:val="40D83396"/>
    <w:rsid w:val="40F67414"/>
    <w:rsid w:val="41431AD5"/>
    <w:rsid w:val="414B3C0F"/>
    <w:rsid w:val="417C1CE7"/>
    <w:rsid w:val="41900018"/>
    <w:rsid w:val="41944406"/>
    <w:rsid w:val="41CE128F"/>
    <w:rsid w:val="41DA6F12"/>
    <w:rsid w:val="42171FB1"/>
    <w:rsid w:val="42DF7C6E"/>
    <w:rsid w:val="434E6957"/>
    <w:rsid w:val="43A05ACE"/>
    <w:rsid w:val="43BA0E31"/>
    <w:rsid w:val="43C15147"/>
    <w:rsid w:val="43E14DD2"/>
    <w:rsid w:val="43F800E9"/>
    <w:rsid w:val="443A7E4B"/>
    <w:rsid w:val="44BB71D9"/>
    <w:rsid w:val="452F5B3A"/>
    <w:rsid w:val="454E7FD2"/>
    <w:rsid w:val="455873EB"/>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62169E"/>
    <w:rsid w:val="4A0A26D2"/>
    <w:rsid w:val="4A2019A5"/>
    <w:rsid w:val="4A241A0B"/>
    <w:rsid w:val="4A7B2875"/>
    <w:rsid w:val="4A934476"/>
    <w:rsid w:val="4AAA220A"/>
    <w:rsid w:val="4ACB6EE9"/>
    <w:rsid w:val="4AE12E67"/>
    <w:rsid w:val="4B4C0111"/>
    <w:rsid w:val="4B8553A9"/>
    <w:rsid w:val="4BB845AF"/>
    <w:rsid w:val="4BDB3730"/>
    <w:rsid w:val="4BF745C0"/>
    <w:rsid w:val="4C200F7A"/>
    <w:rsid w:val="4C913FCC"/>
    <w:rsid w:val="4CEE3180"/>
    <w:rsid w:val="4D0F4AF6"/>
    <w:rsid w:val="4DF94F37"/>
    <w:rsid w:val="4E0A1DD5"/>
    <w:rsid w:val="4E105956"/>
    <w:rsid w:val="4E3160E5"/>
    <w:rsid w:val="4E4D37AF"/>
    <w:rsid w:val="4E8C6496"/>
    <w:rsid w:val="4EB045D0"/>
    <w:rsid w:val="4EEA31E9"/>
    <w:rsid w:val="4EFD18DE"/>
    <w:rsid w:val="4F072E89"/>
    <w:rsid w:val="4F144236"/>
    <w:rsid w:val="4F663C87"/>
    <w:rsid w:val="4F7E29A8"/>
    <w:rsid w:val="4F9E1FFC"/>
    <w:rsid w:val="50447CC2"/>
    <w:rsid w:val="507D7F0F"/>
    <w:rsid w:val="50874A7C"/>
    <w:rsid w:val="50895EE7"/>
    <w:rsid w:val="50921B9D"/>
    <w:rsid w:val="50D16158"/>
    <w:rsid w:val="50DB5F45"/>
    <w:rsid w:val="50DC1CEB"/>
    <w:rsid w:val="51025EB1"/>
    <w:rsid w:val="51141503"/>
    <w:rsid w:val="518D0ED5"/>
    <w:rsid w:val="525C687F"/>
    <w:rsid w:val="52F647F7"/>
    <w:rsid w:val="52F92565"/>
    <w:rsid w:val="53D03877"/>
    <w:rsid w:val="542F73CA"/>
    <w:rsid w:val="5430786D"/>
    <w:rsid w:val="545A1D2A"/>
    <w:rsid w:val="54C811C0"/>
    <w:rsid w:val="556A442D"/>
    <w:rsid w:val="55766264"/>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755817"/>
    <w:rsid w:val="5AB34579"/>
    <w:rsid w:val="5AFC6609"/>
    <w:rsid w:val="5B113480"/>
    <w:rsid w:val="5BD456CE"/>
    <w:rsid w:val="5BDF7B0D"/>
    <w:rsid w:val="5BE824B5"/>
    <w:rsid w:val="5C0D1F49"/>
    <w:rsid w:val="5CBB0CE2"/>
    <w:rsid w:val="5CC17177"/>
    <w:rsid w:val="5CF306BC"/>
    <w:rsid w:val="5D3F3D64"/>
    <w:rsid w:val="5D833043"/>
    <w:rsid w:val="5DD92690"/>
    <w:rsid w:val="5DDB1CFD"/>
    <w:rsid w:val="5E7E6D93"/>
    <w:rsid w:val="5ED44800"/>
    <w:rsid w:val="5F3428EC"/>
    <w:rsid w:val="5F350BDE"/>
    <w:rsid w:val="5F61632C"/>
    <w:rsid w:val="5FA17648"/>
    <w:rsid w:val="5FB356D2"/>
    <w:rsid w:val="5FE705CB"/>
    <w:rsid w:val="6032506E"/>
    <w:rsid w:val="603D5080"/>
    <w:rsid w:val="60D0261B"/>
    <w:rsid w:val="615856A3"/>
    <w:rsid w:val="618E3791"/>
    <w:rsid w:val="61947DCA"/>
    <w:rsid w:val="61A46A97"/>
    <w:rsid w:val="61AE6B1B"/>
    <w:rsid w:val="61B921DA"/>
    <w:rsid w:val="61D1382F"/>
    <w:rsid w:val="61F114A2"/>
    <w:rsid w:val="622B0ABA"/>
    <w:rsid w:val="62512BB4"/>
    <w:rsid w:val="625D7D1A"/>
    <w:rsid w:val="62A801E9"/>
    <w:rsid w:val="62DD7D21"/>
    <w:rsid w:val="634B394C"/>
    <w:rsid w:val="637D586B"/>
    <w:rsid w:val="63A5560B"/>
    <w:rsid w:val="63E33A56"/>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241929"/>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EC68CF"/>
    <w:rsid w:val="6EF72976"/>
    <w:rsid w:val="6F795A80"/>
    <w:rsid w:val="6F7C1D2E"/>
    <w:rsid w:val="6F8E0407"/>
    <w:rsid w:val="6FBF13B5"/>
    <w:rsid w:val="6FDD069F"/>
    <w:rsid w:val="702B4D16"/>
    <w:rsid w:val="70AA6621"/>
    <w:rsid w:val="7111480F"/>
    <w:rsid w:val="71261F49"/>
    <w:rsid w:val="712E6956"/>
    <w:rsid w:val="713D31A2"/>
    <w:rsid w:val="71473612"/>
    <w:rsid w:val="71504F32"/>
    <w:rsid w:val="7152309F"/>
    <w:rsid w:val="71803AB5"/>
    <w:rsid w:val="718F7F65"/>
    <w:rsid w:val="727B234E"/>
    <w:rsid w:val="72D068C7"/>
    <w:rsid w:val="72E42ED8"/>
    <w:rsid w:val="735F4CB9"/>
    <w:rsid w:val="73674C62"/>
    <w:rsid w:val="73845865"/>
    <w:rsid w:val="739B6D9E"/>
    <w:rsid w:val="73BC1D76"/>
    <w:rsid w:val="73FB6630"/>
    <w:rsid w:val="74435FD4"/>
    <w:rsid w:val="748D790E"/>
    <w:rsid w:val="749820CC"/>
    <w:rsid w:val="74CE04EC"/>
    <w:rsid w:val="74E76DCD"/>
    <w:rsid w:val="751D7C0A"/>
    <w:rsid w:val="75722D56"/>
    <w:rsid w:val="75DB5477"/>
    <w:rsid w:val="75FC6AC3"/>
    <w:rsid w:val="7616619B"/>
    <w:rsid w:val="764C22D5"/>
    <w:rsid w:val="76660D7C"/>
    <w:rsid w:val="766C5968"/>
    <w:rsid w:val="76BE0C8F"/>
    <w:rsid w:val="76CD53B2"/>
    <w:rsid w:val="770719AC"/>
    <w:rsid w:val="776526CC"/>
    <w:rsid w:val="77A262E1"/>
    <w:rsid w:val="77B13C33"/>
    <w:rsid w:val="77BE1D34"/>
    <w:rsid w:val="77ED6F44"/>
    <w:rsid w:val="77F45548"/>
    <w:rsid w:val="784E7CA6"/>
    <w:rsid w:val="78574801"/>
    <w:rsid w:val="7873527F"/>
    <w:rsid w:val="789D1525"/>
    <w:rsid w:val="790A6425"/>
    <w:rsid w:val="790E2D96"/>
    <w:rsid w:val="791B54B2"/>
    <w:rsid w:val="795A0A34"/>
    <w:rsid w:val="797339C3"/>
    <w:rsid w:val="79D57D57"/>
    <w:rsid w:val="79F00650"/>
    <w:rsid w:val="7A4C09D0"/>
    <w:rsid w:val="7A6242BF"/>
    <w:rsid w:val="7A794513"/>
    <w:rsid w:val="7AB715FA"/>
    <w:rsid w:val="7AE952D2"/>
    <w:rsid w:val="7C7248A0"/>
    <w:rsid w:val="7C976D69"/>
    <w:rsid w:val="7CD752DA"/>
    <w:rsid w:val="7CDE40AB"/>
    <w:rsid w:val="7CF057E2"/>
    <w:rsid w:val="7D1548B5"/>
    <w:rsid w:val="7DF84014"/>
    <w:rsid w:val="7E042175"/>
    <w:rsid w:val="7E207949"/>
    <w:rsid w:val="7E5C0A47"/>
    <w:rsid w:val="7E670C75"/>
    <w:rsid w:val="7EE24272"/>
    <w:rsid w:val="7EEA6053"/>
    <w:rsid w:val="7F161328"/>
    <w:rsid w:val="7F487C04"/>
    <w:rsid w:val="7FB45F21"/>
    <w:rsid w:val="7FD507C5"/>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Char"/>
    <w:basedOn w:val="1"/>
    <w:qFormat/>
    <w:uiPriority w:val="99"/>
    <w:pPr>
      <w:widowControl/>
      <w:spacing w:line="240" w:lineRule="exact"/>
      <w:jc w:val="left"/>
    </w:pPr>
    <w:rPr>
      <w:rFonts w:ascii="Verdana" w:hAnsi="Verdana" w:cs="Verdana"/>
      <w:kern w:val="0"/>
      <w:sz w:val="24"/>
      <w:lang w:eastAsia="en-US"/>
    </w:rPr>
  </w:style>
  <w:style w:type="paragraph" w:customStyle="1" w:styleId="14">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1317</Words>
  <Characters>7512</Characters>
  <Lines>62</Lines>
  <Paragraphs>17</Paragraphs>
  <TotalTime>0</TotalTime>
  <ScaleCrop>false</ScaleCrop>
  <LinksUpToDate>false</LinksUpToDate>
  <CharactersWithSpaces>8812</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2025-04-08T06:31:47Z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FD80BB1E5A90463B9AD981E255C21607_13</vt:lpwstr>
  </property>
</Properties>
</file>