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bookmarkStart w:id="19" w:name="_GoBack"/>
      <w:bookmarkEnd w:id="19"/>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裕民县商务和工业信息化局2023年促进消费市场发展专项资金（政府发放消费券）项目支出绩效评价报告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pPr>
    </w:p>
    <w:p>
      <w:pPr>
        <w:ind w:left="2698" w:leftChars="428" w:hanging="1500" w:hangingChars="5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rPr>
        <w:t>3年促进消费市场发展专项资金（政府发放消费券）项目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rPr>
        <w:t>裕民县商务和工业信息化</w:t>
      </w:r>
      <w:r>
        <w:rPr>
          <w:rFonts w:hint="eastAsia" w:ascii="黑体" w:hAnsi="黑体" w:eastAsia="黑体" w:cs="宋体"/>
          <w:color w:val="auto"/>
          <w:sz w:val="30"/>
          <w:szCs w:val="30"/>
        </w:rPr>
        <w:t>局</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rPr>
        <w:t>裕民县商务和工业信息化</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rPr>
        <w:t>促进消费市场发展专项资金（政府发放消费券）</w:t>
      </w:r>
    </w:p>
    <w:p>
      <w:pPr>
        <w:ind w:firstLine="1200" w:firstLineChars="400"/>
        <w:rPr>
          <w:rFonts w:ascii="黑体" w:hAnsi="黑体" w:eastAsia="黑体" w:cs="仿宋_GB2312"/>
          <w:color w:val="000000" w:themeColor="text1"/>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rPr>
        <w:t>4年</w:t>
      </w:r>
      <w:r>
        <w:rPr>
          <w:rFonts w:hint="eastAsia" w:ascii="黑体" w:hAnsi="黑体" w:eastAsia="黑体" w:cs="仿宋_GB2312"/>
          <w:color w:val="auto"/>
          <w:sz w:val="30"/>
          <w:szCs w:val="30"/>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rPr>
        <w:t>25日</w:t>
      </w:r>
    </w:p>
    <w:p>
      <w:pPr>
        <w:keepNext w:val="0"/>
        <w:keepLines w:val="0"/>
        <w:pageBreakBefore w:val="0"/>
        <w:widowControl w:val="0"/>
        <w:kinsoku/>
        <w:wordWrap/>
        <w:overflowPunct/>
        <w:topLinePunct w:val="0"/>
        <w:autoSpaceDE/>
        <w:autoSpaceDN/>
        <w:bidi w:val="0"/>
        <w:adjustRightInd/>
        <w:snapToGrid/>
        <w:spacing w:after="100" w:afterAutospacing="1" w:line="360" w:lineRule="auto"/>
        <w:ind w:firstLine="0" w:firstLineChars="0"/>
        <w:jc w:val="center"/>
        <w:textAlignment w:val="auto"/>
        <w:rPr>
          <w:rFonts w:hint="eastAsia" w:ascii="方正小标宋_GBK" w:hAnsi="黑体" w:eastAsia="方正小标宋_GBK" w:cs="黑体"/>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100" w:afterAutospacing="1" w:line="400" w:lineRule="exact"/>
        <w:ind w:firstLine="0" w:firstLineChars="0"/>
        <w:jc w:val="center"/>
        <w:textAlignment w:val="auto"/>
        <w:rPr>
          <w:rFonts w:hint="eastAsia" w:ascii="方正小标宋_GBK" w:hAnsi="黑体" w:eastAsia="方正小标宋_GBK" w:cs="黑体"/>
          <w:bCs/>
          <w:sz w:val="36"/>
          <w:szCs w:val="36"/>
          <w:lang w:val="en-US" w:eastAsia="zh-CN"/>
        </w:rPr>
      </w:pPr>
      <w:r>
        <w:rPr>
          <w:rFonts w:hint="eastAsia" w:ascii="方正小标宋_GBK" w:hAnsi="黑体" w:eastAsia="方正小标宋_GBK" w:cs="黑体"/>
          <w:bCs/>
          <w:sz w:val="36"/>
          <w:szCs w:val="36"/>
          <w:lang w:val="en-US" w:eastAsia="zh-CN"/>
        </w:rPr>
        <w:t>裕民县商务和工业信息化局促进消费市场发展专项资金</w:t>
      </w:r>
    </w:p>
    <w:p>
      <w:pPr>
        <w:keepNext w:val="0"/>
        <w:keepLines w:val="0"/>
        <w:pageBreakBefore w:val="0"/>
        <w:widowControl w:val="0"/>
        <w:kinsoku/>
        <w:wordWrap/>
        <w:overflowPunct/>
        <w:topLinePunct w:val="0"/>
        <w:autoSpaceDE/>
        <w:autoSpaceDN/>
        <w:bidi w:val="0"/>
        <w:adjustRightInd/>
        <w:snapToGrid/>
        <w:spacing w:after="100" w:afterAutospacing="1" w:line="400" w:lineRule="exact"/>
        <w:ind w:firstLine="0" w:firstLineChars="0"/>
        <w:jc w:val="center"/>
        <w:textAlignment w:val="auto"/>
        <w:rPr>
          <w:rFonts w:ascii="方正小标宋_GBK" w:hAnsi="黑体" w:eastAsia="方正小标宋_GBK" w:cs="黑体"/>
          <w:bCs/>
          <w:sz w:val="36"/>
          <w:szCs w:val="36"/>
        </w:rPr>
      </w:pPr>
      <w:r>
        <w:rPr>
          <w:rFonts w:hint="eastAsia" w:ascii="方正小标宋_GBK" w:hAnsi="黑体" w:eastAsia="方正小标宋_GBK" w:cs="黑体"/>
          <w:bCs/>
          <w:sz w:val="36"/>
          <w:szCs w:val="36"/>
          <w:lang w:val="en-US" w:eastAsia="zh-CN"/>
        </w:rPr>
        <w:t>（政府发放消费券）项目支出绩效评价报告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0"/>
        <w:rPr>
          <w:rFonts w:ascii="楷体_GB2312" w:eastAsia="楷体_GB2312"/>
          <w:szCs w:val="32"/>
        </w:rPr>
      </w:pPr>
      <w:r>
        <w:rPr>
          <w:rFonts w:hint="eastAsia" w:ascii="楷体_GB2312" w:eastAsia="楷体_GB2312"/>
          <w:szCs w:val="32"/>
        </w:rPr>
        <w:t>（一）项目概况</w:t>
      </w:r>
    </w:p>
    <w:p>
      <w:pPr>
        <w:ind w:firstLine="640"/>
        <w:rPr>
          <w:b/>
          <w:bCs/>
          <w:sz w:val="32"/>
          <w:szCs w:val="32"/>
        </w:rPr>
      </w:pPr>
      <w:r>
        <w:rPr>
          <w:rFonts w:hint="eastAsia"/>
          <w:b/>
          <w:bCs/>
          <w:sz w:val="32"/>
          <w:szCs w:val="32"/>
        </w:rPr>
        <w:t>1.项目背景</w:t>
      </w:r>
    </w:p>
    <w:p>
      <w:pPr>
        <w:ind w:firstLine="5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为更好释放消费潜力，活跃消费市场，充分发挥消费券“扩大内需、促消费、稳增长”的积极作用。电子消费券采取线上方式领取，线下商户门店核销使用模式。</w:t>
      </w:r>
    </w:p>
    <w:p>
      <w:pPr>
        <w:ind w:firstLine="560"/>
        <w:rPr>
          <w:sz w:val="32"/>
          <w:szCs w:val="32"/>
        </w:rPr>
      </w:pPr>
      <w:r>
        <w:rPr>
          <w:rFonts w:hint="eastAsia" w:ascii="仿宋_GB2312" w:hAnsi="仿宋_GB2312" w:eastAsia="仿宋_GB2312" w:cs="仿宋_GB2312"/>
          <w:sz w:val="32"/>
          <w:szCs w:val="32"/>
        </w:rPr>
        <w:t>根据《关于对春节期间组织开展政府消费券发放活动的请示的批复》（裕政批[2023]6号）、《裕民县消费券发放工作方案》文件要求，为进一步激发市场活力，促进消费回补，结合春节消费旺季，通过政府扶持引导，引导市民广泛参与，激发我县消费者购物热情，让消费者得到实惠，推动全县消费市场全面复苏。</w:t>
      </w:r>
    </w:p>
    <w:p>
      <w:pPr>
        <w:ind w:firstLine="640"/>
        <w:rPr>
          <w:b/>
          <w:bCs/>
          <w:sz w:val="32"/>
          <w:szCs w:val="32"/>
        </w:rPr>
      </w:pPr>
      <w:r>
        <w:rPr>
          <w:rFonts w:hint="eastAsia"/>
          <w:b/>
          <w:bCs/>
          <w:sz w:val="32"/>
          <w:szCs w:val="32"/>
        </w:rPr>
        <w:t>2.项目主要内容及实施情况</w:t>
      </w:r>
    </w:p>
    <w:p>
      <w:pPr>
        <w:adjustRightInd w:val="0"/>
        <w:snapToGrid w:val="0"/>
        <w:spacing w:line="540" w:lineRule="exact"/>
        <w:ind w:firstLine="640"/>
        <w:rPr>
          <w:rFonts w:hint="eastAsia" w:ascii="仿宋_GB2312" w:hAnsi="仿宋_GB2312" w:eastAsia="仿宋_GB2312" w:cs="仿宋_GB2312"/>
          <w:snapToGrid w:val="0"/>
          <w:color w:val="auto"/>
          <w:kern w:val="0"/>
          <w:sz w:val="32"/>
          <w:szCs w:val="32"/>
        </w:rPr>
      </w:pPr>
      <w:r>
        <w:rPr>
          <w:rFonts w:hint="eastAsia" w:ascii="仿宋_GB2312" w:hAnsi="仿宋_GB2312" w:eastAsia="仿宋_GB2312" w:cs="仿宋_GB2312"/>
          <w:color w:val="auto"/>
          <w:sz w:val="32"/>
          <w:szCs w:val="32"/>
        </w:rPr>
        <w:t>本项目主要</w:t>
      </w:r>
      <w:r>
        <w:rPr>
          <w:rFonts w:hint="eastAsia" w:ascii="仿宋_GB2312" w:hAnsi="仿宋_GB2312" w:eastAsia="仿宋_GB2312" w:cs="仿宋_GB2312"/>
          <w:color w:val="auto"/>
          <w:sz w:val="32"/>
          <w:szCs w:val="32"/>
          <w:lang w:eastAsia="zh-Hans"/>
        </w:rPr>
        <w:t>内容为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根据《关于对春节期间组织开展政府消费券发放活动的请示的批复》（裕政批[2023]6号）、《裕民县消费券发放工作方案》文件要求，</w:t>
      </w:r>
      <w:r>
        <w:rPr>
          <w:rFonts w:hint="eastAsia" w:ascii="仿宋_GB2312" w:hAnsi="仿宋_GB2312" w:eastAsia="仿宋_GB2312" w:cs="仿宋_GB2312"/>
          <w:color w:val="auto"/>
          <w:sz w:val="32"/>
          <w:szCs w:val="32"/>
          <w:lang w:val="en-US" w:eastAsia="zh-CN"/>
        </w:rPr>
        <w:t>地方财政配套</w:t>
      </w:r>
      <w:r>
        <w:rPr>
          <w:rFonts w:hint="eastAsia" w:ascii="仿宋_GB2312" w:hAnsi="仿宋_GB2312" w:eastAsia="仿宋_GB2312" w:cs="仿宋_GB2312"/>
          <w:snapToGrid w:val="0"/>
          <w:color w:val="auto"/>
          <w:kern w:val="0"/>
          <w:sz w:val="32"/>
          <w:szCs w:val="32"/>
        </w:rPr>
        <w:t>政府发放消费券金额414.52万元。全部以电子消费券形式进行发放。本次电子消费券发放由县政府与农村信用合作联社市场信用社和中国电信裕民分公司翼支付平台合作，由县政府授权县商工信局与平台签订委托发放合作协议（不实施政府采购程序），平台免费进行投放</w:t>
      </w:r>
      <w:r>
        <w:rPr>
          <w:rFonts w:hint="eastAsia" w:ascii="仿宋_GB2312" w:hAnsi="仿宋_GB2312" w:cs="仿宋_GB2312"/>
          <w:snapToGrid w:val="0"/>
          <w:color w:val="auto"/>
          <w:kern w:val="0"/>
          <w:sz w:val="32"/>
          <w:szCs w:val="32"/>
          <w:lang w:eastAsia="zh-CN"/>
        </w:rPr>
        <w:t>。</w:t>
      </w:r>
      <w:r>
        <w:rPr>
          <w:rFonts w:hint="eastAsia" w:ascii="仿宋_GB2312" w:hAnsi="仿宋_GB2312" w:eastAsia="仿宋_GB2312" w:cs="仿宋_GB2312"/>
          <w:snapToGrid w:val="0"/>
          <w:color w:val="auto"/>
          <w:kern w:val="0"/>
          <w:sz w:val="32"/>
          <w:szCs w:val="32"/>
        </w:rPr>
        <w:t>此次消费券以电子消费券进行发放。电子消费券采取线上方式领取，线下商户门店核销使用模式</w:t>
      </w:r>
      <w:r>
        <w:rPr>
          <w:rFonts w:hint="eastAsia" w:ascii="仿宋_GB2312" w:hAnsi="仿宋_GB2312" w:eastAsia="仿宋_GB2312" w:cs="仿宋_GB2312"/>
          <w:b w:val="0"/>
          <w:bCs w:val="0"/>
          <w:snapToGrid w:val="0"/>
          <w:color w:val="auto"/>
          <w:kern w:val="0"/>
          <w:sz w:val="32"/>
          <w:szCs w:val="32"/>
        </w:rPr>
        <w:t>。</w:t>
      </w:r>
      <w:r>
        <w:rPr>
          <w:rFonts w:hint="eastAsia" w:ascii="仿宋_GB2312" w:hAnsi="仿宋_GB2312" w:cs="仿宋_GB2312"/>
          <w:b w:val="0"/>
          <w:bCs w:val="0"/>
          <w:snapToGrid w:val="0"/>
          <w:color w:val="auto"/>
          <w:kern w:val="0"/>
          <w:sz w:val="32"/>
          <w:szCs w:val="32"/>
          <w:lang w:val="en-US" w:eastAsia="zh-CN"/>
        </w:rPr>
        <w:t>本次</w:t>
      </w:r>
      <w:r>
        <w:rPr>
          <w:rFonts w:hint="eastAsia" w:ascii="仿宋_GB2312" w:hAnsi="仿宋_GB2312" w:eastAsia="仿宋_GB2312" w:cs="仿宋_GB2312"/>
          <w:b w:val="0"/>
          <w:bCs w:val="0"/>
          <w:snapToGrid w:val="0"/>
          <w:color w:val="auto"/>
          <w:kern w:val="0"/>
          <w:sz w:val="32"/>
          <w:szCs w:val="32"/>
        </w:rPr>
        <w:t>活动对象</w:t>
      </w:r>
      <w:r>
        <w:rPr>
          <w:rFonts w:hint="eastAsia" w:ascii="仿宋_GB2312" w:hAnsi="仿宋_GB2312" w:cs="仿宋_GB2312"/>
          <w:b w:val="0"/>
          <w:bCs w:val="0"/>
          <w:snapToGrid w:val="0"/>
          <w:color w:val="auto"/>
          <w:kern w:val="0"/>
          <w:sz w:val="32"/>
          <w:szCs w:val="32"/>
          <w:lang w:eastAsia="zh-CN"/>
        </w:rPr>
        <w:t>：（</w:t>
      </w:r>
      <w:r>
        <w:rPr>
          <w:rFonts w:hint="eastAsia" w:ascii="仿宋_GB2312" w:hAnsi="仿宋_GB2312" w:cs="仿宋_GB2312"/>
          <w:b w:val="0"/>
          <w:bCs w:val="0"/>
          <w:snapToGrid w:val="0"/>
          <w:color w:val="auto"/>
          <w:kern w:val="0"/>
          <w:sz w:val="32"/>
          <w:szCs w:val="32"/>
          <w:lang w:val="en-US" w:eastAsia="zh-CN"/>
        </w:rPr>
        <w:t>1</w:t>
      </w:r>
      <w:r>
        <w:rPr>
          <w:rFonts w:hint="eastAsia" w:ascii="仿宋_GB2312" w:hAnsi="仿宋_GB2312" w:cs="仿宋_GB2312"/>
          <w:b w:val="0"/>
          <w:bCs w:val="0"/>
          <w:snapToGrid w:val="0"/>
          <w:color w:val="auto"/>
          <w:kern w:val="0"/>
          <w:sz w:val="32"/>
          <w:szCs w:val="32"/>
          <w:lang w:eastAsia="zh-CN"/>
        </w:rPr>
        <w:t>）、</w:t>
      </w:r>
      <w:r>
        <w:rPr>
          <w:rFonts w:hint="eastAsia" w:ascii="仿宋_GB2312" w:hAnsi="仿宋_GB2312" w:eastAsia="仿宋_GB2312" w:cs="仿宋_GB2312"/>
          <w:b w:val="0"/>
          <w:bCs w:val="0"/>
          <w:snapToGrid w:val="0"/>
          <w:color w:val="auto"/>
          <w:kern w:val="0"/>
          <w:sz w:val="32"/>
          <w:szCs w:val="32"/>
        </w:rPr>
        <w:t>用户侧：电子消费券：消费券适用对象包括裕民县居民及活动时期外地来裕民县人员</w:t>
      </w:r>
      <w:r>
        <w:rPr>
          <w:rFonts w:hint="eastAsia" w:ascii="仿宋_GB2312" w:hAnsi="仿宋_GB2312" w:cs="仿宋_GB2312"/>
          <w:b w:val="0"/>
          <w:bCs w:val="0"/>
          <w:snapToGrid w:val="0"/>
          <w:color w:val="auto"/>
          <w:kern w:val="0"/>
          <w:sz w:val="32"/>
          <w:szCs w:val="32"/>
          <w:lang w:eastAsia="zh-CN"/>
        </w:rPr>
        <w:t>；</w:t>
      </w:r>
      <w:r>
        <w:rPr>
          <w:rFonts w:hint="eastAsia" w:ascii="仿宋_GB2312" w:hAnsi="仿宋_GB2312" w:cs="仿宋_GB2312"/>
          <w:snapToGrid w:val="0"/>
          <w:color w:val="auto"/>
          <w:kern w:val="0"/>
          <w:sz w:val="32"/>
          <w:szCs w:val="32"/>
          <w:lang w:val="en-US" w:eastAsia="zh-CN" w:bidi="ar-SA"/>
        </w:rPr>
        <w:t>（2）、</w:t>
      </w:r>
      <w:r>
        <w:rPr>
          <w:rFonts w:hint="eastAsia" w:ascii="仿宋_GB2312" w:hAnsi="仿宋_GB2312" w:eastAsia="仿宋_GB2312" w:cs="仿宋_GB2312"/>
          <w:b w:val="0"/>
          <w:bCs w:val="0"/>
          <w:snapToGrid w:val="0"/>
          <w:color w:val="auto"/>
          <w:kern w:val="0"/>
          <w:sz w:val="32"/>
          <w:szCs w:val="32"/>
        </w:rPr>
        <w:t>商户侧：消费券活动覆盖全县城乡商超（包括服装行业）、餐饮（包括住宿行业）、娱乐行业领域企业、商户。参加电子消费券活动企业、商户需注册成为翼支付商户。</w:t>
      </w:r>
    </w:p>
    <w:p>
      <w:pPr>
        <w:spacing w:line="600" w:lineRule="exact"/>
        <w:ind w:firstLine="640"/>
        <w:rPr>
          <w:rFonts w:hint="default" w:ascii="仿宋_GB2312" w:hAnsi="仿宋_GB2312" w:eastAsia="仿宋_GB2312" w:cs="仿宋_GB2312"/>
          <w:snapToGrid w:val="0"/>
          <w:kern w:val="0"/>
          <w:sz w:val="28"/>
          <w:szCs w:val="28"/>
          <w:lang w:val="en-US" w:eastAsia="zh-CN"/>
        </w:rPr>
      </w:pPr>
      <w:r>
        <w:rPr>
          <w:rFonts w:hint="eastAsia" w:ascii="仿宋_GB2312" w:hAnsi="仿宋_GB2312" w:cs="仿宋_GB2312"/>
          <w:b w:val="0"/>
          <w:bCs w:val="0"/>
          <w:snapToGrid w:val="0"/>
          <w:color w:val="auto"/>
          <w:kern w:val="0"/>
          <w:sz w:val="32"/>
          <w:szCs w:val="32"/>
          <w:lang w:val="en-US" w:eastAsia="zh-CN"/>
        </w:rPr>
        <w:t>本项目于</w:t>
      </w:r>
      <w:r>
        <w:rPr>
          <w:rFonts w:hint="eastAsia" w:ascii="仿宋_GB2312" w:hAnsi="仿宋_GB2312" w:eastAsia="仿宋_GB2312" w:cs="仿宋_GB2312"/>
          <w:snapToGrid w:val="0"/>
          <w:color w:val="auto"/>
          <w:kern w:val="0"/>
          <w:sz w:val="32"/>
          <w:szCs w:val="32"/>
        </w:rPr>
        <w:t>2023年1月</w:t>
      </w:r>
      <w:r>
        <w:rPr>
          <w:rFonts w:hint="eastAsia" w:ascii="仿宋_GB2312" w:hAnsi="仿宋_GB2312" w:cs="仿宋_GB2312"/>
          <w:snapToGrid w:val="0"/>
          <w:color w:val="auto"/>
          <w:kern w:val="0"/>
          <w:sz w:val="32"/>
          <w:szCs w:val="32"/>
          <w:lang w:val="en-US" w:eastAsia="zh-CN"/>
        </w:rPr>
        <w:t>开始实施，截止2023年12月，该项目已实施完成，各项任务指标里项目资金414.52万元，</w:t>
      </w:r>
      <w:r>
        <w:rPr>
          <w:rFonts w:hint="eastAsia" w:ascii="仿宋_GB2312"/>
          <w:color w:val="auto"/>
          <w:sz w:val="32"/>
          <w:szCs w:val="32"/>
        </w:rPr>
        <w:t>资金已支付到位。</w:t>
      </w:r>
      <w:r>
        <w:rPr>
          <w:rFonts w:hint="eastAsia"/>
          <w:color w:val="auto"/>
          <w:sz w:val="32"/>
          <w:szCs w:val="32"/>
          <w:lang w:val="en-US" w:eastAsia="zh-CN"/>
        </w:rPr>
        <w:t>通过本项目的实施，促进消费，拉动经济。消费券能够快速刺激消费者的消费意愿，通过乘数效应促进实体和线上消费循环，从而带动经济增长。提振市场人气。消费券有助力激活市场，能够恢复消费者信心，增加商家短期收入，缓解经营压力。促进产业复苏。政府通过发放消费券，帮助企业获得终端客流，促进社会经济健康发展，带动相关产业的发展。</w:t>
      </w:r>
    </w:p>
    <w:p>
      <w:pPr>
        <w:ind w:firstLine="640"/>
        <w:rPr>
          <w:b/>
          <w:bCs/>
          <w:sz w:val="32"/>
          <w:szCs w:val="32"/>
        </w:rPr>
      </w:pPr>
      <w:r>
        <w:rPr>
          <w:rFonts w:hint="eastAsia"/>
          <w:b/>
          <w:bCs/>
          <w:sz w:val="32"/>
          <w:szCs w:val="32"/>
        </w:rPr>
        <w:t>3.项目实施主体</w:t>
      </w:r>
    </w:p>
    <w:p>
      <w:pPr>
        <w:pStyle w:val="21"/>
        <w:spacing w:line="570" w:lineRule="exact"/>
        <w:ind w:firstLine="640"/>
        <w:rPr>
          <w:rFonts w:ascii="仿宋_GB2312" w:hAnsi="仿宋_GB2312" w:cs="仿宋_GB2312"/>
          <w:color w:val="auto"/>
          <w:sz w:val="32"/>
          <w:szCs w:val="32"/>
        </w:rPr>
      </w:pPr>
      <w:r>
        <w:rPr>
          <w:rFonts w:ascii="仿宋_GB2312" w:hAnsi="仿宋_GB2312" w:cs="仿宋_GB2312"/>
          <w:color w:val="auto"/>
          <w:sz w:val="32"/>
          <w:szCs w:val="32"/>
        </w:rPr>
        <w:t>202</w:t>
      </w:r>
      <w:r>
        <w:rPr>
          <w:rFonts w:hint="eastAsia" w:ascii="仿宋_GB2312" w:hAnsi="仿宋_GB2312" w:cs="仿宋_GB2312"/>
          <w:color w:val="auto"/>
          <w:sz w:val="32"/>
          <w:szCs w:val="32"/>
        </w:rPr>
        <w:t>3年</w:t>
      </w:r>
      <w:r>
        <w:rPr>
          <w:rFonts w:hint="eastAsia" w:ascii="仿宋_GB2312" w:hAnsi="仿宋_GB2312" w:cs="仿宋_GB2312"/>
          <w:color w:val="auto"/>
        </w:rPr>
        <w:t>裕民县</w:t>
      </w:r>
      <w:r>
        <w:rPr>
          <w:rFonts w:hint="eastAsia" w:ascii="仿宋_GB2312" w:hAnsi="黑体" w:cs="黑体"/>
          <w:bCs/>
          <w:color w:val="auto"/>
        </w:rPr>
        <w:t>促进消费市场发展专项资金（政府发放消费券）</w:t>
      </w:r>
      <w:r>
        <w:rPr>
          <w:rFonts w:hint="eastAsia" w:ascii="仿宋_GB2312" w:hAnsi="仿宋_GB2312" w:cs="仿宋_GB2312"/>
          <w:color w:val="auto"/>
          <w:sz w:val="32"/>
          <w:szCs w:val="32"/>
        </w:rPr>
        <w:t>项目的实施主体为裕民县商务和工业信息化局</w:t>
      </w:r>
      <w:r>
        <w:rPr>
          <w:rFonts w:hint="eastAsia"/>
          <w:color w:val="auto"/>
          <w:sz w:val="32"/>
          <w:szCs w:val="32"/>
        </w:rPr>
        <w:t>。</w:t>
      </w:r>
    </w:p>
    <w:p>
      <w:pPr>
        <w:ind w:firstLine="640"/>
        <w:rPr>
          <w:b/>
          <w:bCs/>
          <w:sz w:val="32"/>
          <w:szCs w:val="32"/>
        </w:rPr>
      </w:pPr>
      <w:r>
        <w:rPr>
          <w:rFonts w:hint="eastAsia"/>
          <w:b/>
          <w:bCs/>
          <w:sz w:val="32"/>
          <w:szCs w:val="32"/>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rPr>
        <w:t>根据裕民县财政局《关于</w:t>
      </w:r>
      <w:r>
        <w:rPr>
          <w:rFonts w:hint="eastAsia" w:ascii="仿宋_GB2312" w:hAnsi="仿宋_GB2312" w:cs="仿宋_GB2312"/>
          <w:sz w:val="32"/>
          <w:szCs w:val="32"/>
          <w:lang w:val="en-US" w:eastAsia="zh-CN"/>
        </w:rPr>
        <w:t>2023年部门预算的批复</w:t>
      </w:r>
      <w:r>
        <w:rPr>
          <w:rFonts w:hint="eastAsia" w:ascii="仿宋_GB2312" w:hAnsi="仿宋_GB2312" w:cs="仿宋_GB2312"/>
          <w:sz w:val="32"/>
          <w:szCs w:val="32"/>
        </w:rPr>
        <w:t>》（裕财字〔2023〕1号）</w:t>
      </w:r>
      <w:r>
        <w:rPr>
          <w:rFonts w:hint="eastAsia" w:ascii="仿宋_GB2312" w:hAnsi="仿宋_GB2312" w:cs="仿宋_GB2312"/>
          <w:sz w:val="32"/>
          <w:szCs w:val="32"/>
          <w:lang w:eastAsia="zh-CN"/>
        </w:rPr>
        <w:t>、</w:t>
      </w:r>
      <w:r>
        <w:rPr>
          <w:rFonts w:hint="eastAsia" w:ascii="仿宋_GB2312" w:hAnsi="仿宋_GB2312" w:cs="仿宋_GB2312"/>
          <w:sz w:val="32"/>
          <w:szCs w:val="32"/>
        </w:rPr>
        <w:t>《关于</w:t>
      </w:r>
      <w:r>
        <w:rPr>
          <w:rFonts w:hint="eastAsia" w:ascii="仿宋_GB2312" w:hAnsi="仿宋_GB2312" w:cs="仿宋_GB2312"/>
          <w:sz w:val="32"/>
          <w:szCs w:val="32"/>
          <w:lang w:val="en-US" w:eastAsia="zh-CN"/>
        </w:rPr>
        <w:t>促进消费市场发展专项资金（政府发放消费券）的通知</w:t>
      </w:r>
      <w:r>
        <w:rPr>
          <w:rFonts w:hint="eastAsia" w:ascii="仿宋_GB2312" w:hAnsi="仿宋_GB2312" w:cs="仿宋_GB2312"/>
          <w:sz w:val="32"/>
          <w:szCs w:val="32"/>
        </w:rPr>
        <w:t>》（裕</w:t>
      </w:r>
      <w:r>
        <w:rPr>
          <w:rFonts w:hint="eastAsia" w:ascii="仿宋_GB2312" w:hAnsi="仿宋_GB2312" w:cs="仿宋_GB2312"/>
          <w:sz w:val="32"/>
          <w:szCs w:val="32"/>
          <w:lang w:val="en-US" w:eastAsia="zh-CN"/>
        </w:rPr>
        <w:t>党财办</w:t>
      </w:r>
      <w:r>
        <w:rPr>
          <w:rFonts w:hint="eastAsia" w:ascii="仿宋_GB2312" w:hAnsi="仿宋_GB2312" w:cs="仿宋_GB2312"/>
          <w:sz w:val="32"/>
          <w:szCs w:val="32"/>
        </w:rPr>
        <w:t>〔2023〕</w:t>
      </w:r>
      <w:r>
        <w:rPr>
          <w:rFonts w:hint="eastAsia" w:ascii="仿宋_GB2312" w:hAnsi="仿宋_GB2312" w:cs="仿宋_GB2312"/>
          <w:sz w:val="32"/>
          <w:szCs w:val="32"/>
          <w:lang w:val="en-US" w:eastAsia="zh-CN"/>
        </w:rPr>
        <w:t>93</w:t>
      </w:r>
      <w:r>
        <w:rPr>
          <w:rFonts w:hint="eastAsia" w:ascii="仿宋_GB2312" w:hAnsi="仿宋_GB2312" w:cs="仿宋_GB2312"/>
          <w:sz w:val="32"/>
          <w:szCs w:val="32"/>
        </w:rPr>
        <w:t>号）文件，裕民县促进消费市场发展专项资金（政府发放消费券）项目预算安排资金总额414.52万元，其中财政资金414.52万元、其他资金0万元；2023年实际收到预算资金414.52万元，预算资金到位率为100%。</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ascii="仿宋_GB2312"/>
          <w:sz w:val="32"/>
          <w:szCs w:val="32"/>
        </w:rPr>
      </w:pPr>
      <w:r>
        <w:rPr>
          <w:rFonts w:hint="eastAsia" w:ascii="仿宋_GB2312" w:hAnsi="仿宋_GB2312" w:cs="仿宋_GB2312"/>
          <w:color w:val="auto"/>
          <w:sz w:val="32"/>
          <w:szCs w:val="32"/>
        </w:rPr>
        <w:t>截至2023年12月31日，</w:t>
      </w:r>
      <w:r>
        <w:rPr>
          <w:rFonts w:hint="eastAsia" w:ascii="仿宋_GB2312"/>
          <w:color w:val="auto"/>
          <w:sz w:val="32"/>
          <w:szCs w:val="32"/>
        </w:rPr>
        <w:t>本项目实际支付资金</w:t>
      </w:r>
      <w:r>
        <w:rPr>
          <w:rFonts w:hint="eastAsia" w:ascii="仿宋_GB2312"/>
          <w:color w:val="auto"/>
          <w:sz w:val="32"/>
          <w:szCs w:val="32"/>
          <w:lang w:val="en-US" w:eastAsia="zh-CN"/>
        </w:rPr>
        <w:t>4</w:t>
      </w:r>
      <w:r>
        <w:rPr>
          <w:rFonts w:hint="eastAsia" w:ascii="仿宋_GB2312"/>
          <w:color w:val="auto"/>
          <w:sz w:val="32"/>
          <w:szCs w:val="32"/>
        </w:rPr>
        <w:t>14.52万元，本项目实际支付资金</w:t>
      </w:r>
      <w:r>
        <w:rPr>
          <w:rFonts w:hint="eastAsia" w:ascii="仿宋_GB2312"/>
          <w:color w:val="auto"/>
          <w:sz w:val="32"/>
          <w:szCs w:val="32"/>
          <w:lang w:val="en-US" w:eastAsia="zh-CN"/>
        </w:rPr>
        <w:t>按414</w:t>
      </w:r>
      <w:r>
        <w:rPr>
          <w:rFonts w:hint="eastAsia" w:ascii="仿宋_GB2312"/>
          <w:color w:val="auto"/>
          <w:sz w:val="32"/>
          <w:szCs w:val="32"/>
        </w:rPr>
        <w:t>.52万元</w:t>
      </w:r>
      <w:r>
        <w:rPr>
          <w:rFonts w:hint="eastAsia" w:ascii="仿宋_GB2312"/>
          <w:color w:val="auto"/>
          <w:sz w:val="32"/>
          <w:szCs w:val="32"/>
          <w:lang w:eastAsia="zh-CN"/>
        </w:rPr>
        <w:t>，</w:t>
      </w:r>
      <w:r>
        <w:rPr>
          <w:rFonts w:hint="eastAsia" w:ascii="仿宋_GB2312"/>
          <w:color w:val="auto"/>
          <w:sz w:val="32"/>
          <w:szCs w:val="32"/>
        </w:rPr>
        <w:t>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hAnsi="黑体" w:cs="黑体"/>
          <w:bCs/>
          <w:color w:val="auto"/>
          <w:sz w:val="32"/>
          <w:szCs w:val="32"/>
        </w:rPr>
        <w:t>政府</w:t>
      </w:r>
      <w:r>
        <w:rPr>
          <w:rFonts w:hint="eastAsia" w:ascii="仿宋_GB2312"/>
          <w:color w:val="auto"/>
          <w:sz w:val="32"/>
          <w:szCs w:val="32"/>
        </w:rPr>
        <w:t>发放消费券费用。</w:t>
      </w:r>
    </w:p>
    <w:p>
      <w:pPr>
        <w:pStyle w:val="4"/>
        <w:numPr>
          <w:ilvl w:val="0"/>
          <w:numId w:val="2"/>
        </w:numPr>
        <w:spacing w:line="600" w:lineRule="exact"/>
        <w:ind w:firstLine="640"/>
        <w:rPr>
          <w:rFonts w:ascii="楷体_GB2312" w:eastAsia="楷体_GB2312"/>
          <w:szCs w:val="32"/>
        </w:rPr>
      </w:pPr>
      <w:r>
        <w:rPr>
          <w:rFonts w:hint="eastAsia" w:ascii="楷体_GB2312" w:eastAsia="楷体_GB2312"/>
          <w:szCs w:val="32"/>
        </w:rPr>
        <w:t>项目绩效目标</w:t>
      </w:r>
    </w:p>
    <w:p>
      <w:pPr>
        <w:ind w:firstLine="640"/>
        <w:rPr>
          <w:b/>
          <w:bCs/>
          <w:sz w:val="32"/>
          <w:szCs w:val="32"/>
        </w:rPr>
      </w:pPr>
      <w:r>
        <w:rPr>
          <w:rFonts w:hint="eastAsia"/>
          <w:b/>
          <w:bCs/>
          <w:sz w:val="32"/>
          <w:szCs w:val="32"/>
        </w:rPr>
        <w:t>1.总体目标</w:t>
      </w:r>
    </w:p>
    <w:p>
      <w:pPr>
        <w:spacing w:line="600" w:lineRule="exact"/>
        <w:ind w:firstLine="640"/>
        <w:rPr>
          <w:color w:val="auto"/>
          <w:sz w:val="32"/>
          <w:szCs w:val="32"/>
        </w:rPr>
      </w:pPr>
      <w:r>
        <w:rPr>
          <w:rFonts w:hint="eastAsia"/>
          <w:color w:val="auto"/>
          <w:sz w:val="32"/>
          <w:szCs w:val="32"/>
        </w:rPr>
        <w:t>为进一步激发市场活力，促进消费回补，计划结合春节消费旺季，通过政府扶持引导，发放电子消费券,引导市民广泛参与，激发我县消费者购物热情，让消费者得到实惠，推动全县消费市场全面复苏。</w:t>
      </w:r>
    </w:p>
    <w:p>
      <w:pPr>
        <w:ind w:firstLine="640"/>
        <w:rPr>
          <w:rFonts w:hint="eastAsia"/>
          <w:color w:val="FF0000"/>
          <w:sz w:val="32"/>
          <w:szCs w:val="32"/>
        </w:rPr>
      </w:pPr>
      <w:r>
        <w:rPr>
          <w:rFonts w:hint="eastAsia"/>
          <w:color w:val="auto"/>
          <w:sz w:val="32"/>
          <w:szCs w:val="32"/>
        </w:rPr>
        <w:t>全年项目计划实现目标如下：“目标1</w:t>
      </w:r>
      <w:r>
        <w:rPr>
          <w:color w:val="auto"/>
          <w:sz w:val="32"/>
          <w:szCs w:val="32"/>
        </w:rPr>
        <w:t>：</w:t>
      </w:r>
      <w:r>
        <w:rPr>
          <w:rFonts w:hint="eastAsia"/>
          <w:color w:val="auto"/>
          <w:sz w:val="32"/>
          <w:szCs w:val="32"/>
        </w:rPr>
        <w:t>“消费券面值设定等次4</w:t>
      </w:r>
      <w:r>
        <w:rPr>
          <w:rFonts w:hint="eastAsia"/>
          <w:color w:val="auto"/>
          <w:sz w:val="32"/>
          <w:szCs w:val="32"/>
          <w:lang w:val="en-US" w:eastAsia="zh-CN"/>
        </w:rPr>
        <w:t>种</w:t>
      </w:r>
      <w:r>
        <w:rPr>
          <w:rFonts w:hint="eastAsia"/>
          <w:color w:val="auto"/>
          <w:sz w:val="32"/>
          <w:szCs w:val="32"/>
        </w:rPr>
        <w:t>”，“目标2</w:t>
      </w:r>
      <w:r>
        <w:rPr>
          <w:color w:val="auto"/>
          <w:sz w:val="32"/>
          <w:szCs w:val="32"/>
        </w:rPr>
        <w:t>：</w:t>
      </w:r>
      <w:r>
        <w:rPr>
          <w:rFonts w:hint="eastAsia"/>
          <w:color w:val="auto"/>
          <w:sz w:val="32"/>
          <w:szCs w:val="32"/>
        </w:rPr>
        <w:t>“电子消费券发放数量37700张”，计划通过本项目的实施，使拉动消费4000万元左右，总体拉动消费倍数为15倍以上，从行业领域看：消费券集中于商超、餐饮领域、家电、住宿、房地产、汽车销售等方面。</w:t>
      </w:r>
    </w:p>
    <w:p>
      <w:pPr>
        <w:ind w:firstLine="640"/>
        <w:rPr>
          <w:b/>
          <w:bCs/>
          <w:sz w:val="32"/>
          <w:szCs w:val="32"/>
        </w:rPr>
      </w:pPr>
      <w:r>
        <w:rPr>
          <w:rFonts w:hint="eastAsia"/>
          <w:b/>
          <w:bCs/>
          <w:sz w:val="32"/>
          <w:szCs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10号）、《塔城地区财政</w:t>
      </w:r>
      <w:r>
        <w:rPr>
          <w:rFonts w:hint="eastAsia" w:ascii="仿宋_GB2312"/>
          <w:sz w:val="32"/>
          <w:szCs w:val="32"/>
        </w:rPr>
        <w:t>支出绩效评价管理暂行办法》（塔地财预〔201</w:t>
      </w:r>
      <w:r>
        <w:rPr>
          <w:rFonts w:ascii="仿宋_GB2312"/>
          <w:sz w:val="32"/>
          <w:szCs w:val="32"/>
        </w:rPr>
        <w:t>8</w:t>
      </w:r>
      <w:r>
        <w:rPr>
          <w:rFonts w:hint="eastAsia" w:ascii="仿宋_GB2312"/>
          <w:sz w:val="32"/>
          <w:szCs w:val="32"/>
        </w:rPr>
        <w:t>〕</w:t>
      </w:r>
      <w:r>
        <w:rPr>
          <w:rFonts w:ascii="仿宋_GB2312"/>
          <w:sz w:val="32"/>
          <w:szCs w:val="32"/>
        </w:rPr>
        <w:t>114</w:t>
      </w:r>
      <w:r>
        <w:rPr>
          <w:rFonts w:hint="eastAsia" w:ascii="仿宋_GB2312"/>
          <w:sz w:val="32"/>
          <w:szCs w:val="32"/>
        </w:rPr>
        <w:t>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项目产出指标</w:t>
      </w:r>
    </w:p>
    <w:p>
      <w:pPr>
        <w:pStyle w:val="27"/>
        <w:numPr>
          <w:ilvl w:val="0"/>
          <w:numId w:val="4"/>
        </w:numPr>
        <w:spacing w:line="600" w:lineRule="exact"/>
        <w:ind w:firstLineChars="0"/>
        <w:rPr>
          <w:sz w:val="32"/>
          <w:szCs w:val="32"/>
        </w:rPr>
      </w:pPr>
      <w:r>
        <w:rPr>
          <w:rFonts w:hint="eastAsia"/>
          <w:sz w:val="32"/>
          <w:szCs w:val="32"/>
        </w:rPr>
        <w:t>数量指标</w:t>
      </w:r>
    </w:p>
    <w:p>
      <w:pPr>
        <w:spacing w:line="600" w:lineRule="exact"/>
        <w:ind w:left="560" w:leftChars="200" w:firstLine="0" w:firstLineChars="0"/>
        <w:rPr>
          <w:rFonts w:hint="eastAsia"/>
          <w:color w:val="auto"/>
          <w:lang w:eastAsia="zh-CN"/>
        </w:rPr>
      </w:pPr>
      <w:r>
        <w:rPr>
          <w:rFonts w:hint="eastAsia"/>
          <w:color w:val="auto"/>
          <w:sz w:val="32"/>
          <w:szCs w:val="32"/>
        </w:rPr>
        <w:t>“</w:t>
      </w:r>
      <w:r>
        <w:rPr>
          <w:rFonts w:hint="eastAsia" w:ascii="仿宋_GB2312"/>
          <w:color w:val="auto"/>
          <w:sz w:val="32"/>
          <w:szCs w:val="32"/>
        </w:rPr>
        <w:t>消费券面值设定等次</w:t>
      </w:r>
      <w:r>
        <w:rPr>
          <w:rFonts w:hint="eastAsia"/>
          <w:color w:val="auto"/>
          <w:sz w:val="32"/>
          <w:szCs w:val="32"/>
        </w:rPr>
        <w:t>”指标，预期指标值为“</w:t>
      </w:r>
      <w:r>
        <w:rPr>
          <w:rFonts w:hint="eastAsia" w:ascii="仿宋_GB2312"/>
          <w:color w:val="auto"/>
          <w:sz w:val="32"/>
          <w:szCs w:val="32"/>
        </w:rPr>
        <w:t>≥4</w:t>
      </w:r>
      <w:r>
        <w:rPr>
          <w:rFonts w:hint="eastAsia" w:ascii="仿宋_GB2312"/>
          <w:color w:val="auto"/>
          <w:sz w:val="32"/>
          <w:szCs w:val="32"/>
          <w:lang w:val="en-US" w:eastAsia="zh-CN"/>
        </w:rPr>
        <w:t>种</w:t>
      </w:r>
      <w:r>
        <w:rPr>
          <w:rFonts w:hint="eastAsia"/>
          <w:color w:val="auto"/>
          <w:lang w:eastAsia="zh-CN"/>
        </w:rPr>
        <w:t>；</w:t>
      </w:r>
    </w:p>
    <w:p>
      <w:pPr>
        <w:spacing w:line="600" w:lineRule="exact"/>
        <w:ind w:left="560" w:leftChars="200" w:firstLine="0" w:firstLineChars="0"/>
        <w:rPr>
          <w:color w:val="auto"/>
          <w:sz w:val="32"/>
          <w:szCs w:val="32"/>
        </w:rPr>
      </w:pPr>
      <w:r>
        <w:rPr>
          <w:rFonts w:hint="eastAsia"/>
          <w:color w:val="auto"/>
          <w:sz w:val="32"/>
          <w:szCs w:val="32"/>
        </w:rPr>
        <w:t>“</w:t>
      </w:r>
      <w:r>
        <w:rPr>
          <w:rFonts w:hint="eastAsia" w:ascii="仿宋_GB2312"/>
          <w:color w:val="auto"/>
          <w:sz w:val="32"/>
          <w:szCs w:val="32"/>
        </w:rPr>
        <w:t>电子消费券发放数量</w:t>
      </w:r>
      <w:r>
        <w:rPr>
          <w:rFonts w:hint="eastAsia"/>
          <w:color w:val="auto"/>
          <w:sz w:val="32"/>
          <w:szCs w:val="32"/>
        </w:rPr>
        <w:t>”指标，预期指标值为“</w:t>
      </w:r>
      <w:r>
        <w:rPr>
          <w:rFonts w:hint="eastAsia" w:ascii="仿宋_GB2312"/>
          <w:color w:val="auto"/>
          <w:sz w:val="32"/>
          <w:szCs w:val="32"/>
        </w:rPr>
        <w:t>≥37700张</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left="560" w:leftChars="200" w:firstLine="0" w:firstLineChars="0"/>
        <w:rPr>
          <w:rFonts w:hint="eastAsia" w:eastAsia="仿宋_GB2312"/>
          <w:color w:val="auto"/>
          <w:sz w:val="32"/>
          <w:szCs w:val="32"/>
          <w:lang w:eastAsia="zh-CN"/>
        </w:rPr>
      </w:pPr>
      <w:r>
        <w:rPr>
          <w:rFonts w:hint="eastAsia"/>
          <w:color w:val="auto"/>
          <w:sz w:val="32"/>
          <w:szCs w:val="32"/>
        </w:rPr>
        <w:t>“</w:t>
      </w:r>
      <w:r>
        <w:rPr>
          <w:rFonts w:hint="eastAsia" w:ascii="仿宋_GB2312"/>
          <w:color w:val="auto"/>
          <w:sz w:val="32"/>
          <w:szCs w:val="32"/>
        </w:rPr>
        <w:t>资金发放资金准确率</w:t>
      </w:r>
      <w:r>
        <w:rPr>
          <w:rFonts w:hint="eastAsia"/>
          <w:color w:val="auto"/>
          <w:sz w:val="32"/>
          <w:szCs w:val="32"/>
        </w:rPr>
        <w:t>”指标，预期指标值为“</w:t>
      </w:r>
      <w:r>
        <w:rPr>
          <w:rFonts w:ascii="仿宋_GB2312"/>
          <w:color w:val="auto"/>
          <w:sz w:val="32"/>
          <w:szCs w:val="32"/>
        </w:rPr>
        <w:t>=100%</w:t>
      </w:r>
      <w:r>
        <w:rPr>
          <w:rFonts w:hint="eastAsia"/>
          <w:color w:val="auto"/>
          <w:sz w:val="32"/>
          <w:szCs w:val="32"/>
        </w:rPr>
        <w:t>”</w:t>
      </w:r>
      <w:r>
        <w:rPr>
          <w:rFonts w:hint="eastAsia"/>
          <w:color w:val="auto"/>
          <w:sz w:val="32"/>
          <w:szCs w:val="32"/>
          <w:lang w:eastAsia="zh-CN"/>
        </w:rPr>
        <w:t>；</w:t>
      </w:r>
    </w:p>
    <w:p>
      <w:pPr>
        <w:spacing w:line="600" w:lineRule="exact"/>
        <w:ind w:left="560" w:leftChars="200" w:firstLine="0" w:firstLineChars="0"/>
        <w:rPr>
          <w:sz w:val="32"/>
          <w:szCs w:val="32"/>
        </w:rPr>
      </w:pPr>
      <w:r>
        <w:rPr>
          <w:rFonts w:hint="eastAsia"/>
          <w:color w:val="auto"/>
          <w:sz w:val="32"/>
          <w:szCs w:val="32"/>
        </w:rPr>
        <w:t>“</w:t>
      </w:r>
      <w:r>
        <w:rPr>
          <w:rFonts w:hint="eastAsia" w:ascii="仿宋_GB2312"/>
          <w:color w:val="auto"/>
          <w:sz w:val="32"/>
          <w:szCs w:val="32"/>
        </w:rPr>
        <w:t>电子消费券使用率</w:t>
      </w:r>
      <w:r>
        <w:rPr>
          <w:rFonts w:hint="eastAsia"/>
          <w:color w:val="auto"/>
          <w:sz w:val="32"/>
          <w:szCs w:val="32"/>
        </w:rPr>
        <w:t>”指标，预期指标值为“</w:t>
      </w:r>
      <w:r>
        <w:rPr>
          <w:rFonts w:hint="eastAsia" w:ascii="仿宋_GB2312"/>
          <w:color w:val="auto"/>
          <w:sz w:val="32"/>
          <w:szCs w:val="32"/>
        </w:rPr>
        <w:t>≥8</w:t>
      </w:r>
      <w:r>
        <w:rPr>
          <w:rFonts w:ascii="仿宋_GB2312"/>
          <w:color w:val="auto"/>
          <w:sz w:val="32"/>
          <w:szCs w:val="32"/>
        </w:rPr>
        <w:t>0%</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活动完成时间</w:t>
      </w:r>
      <w:r>
        <w:rPr>
          <w:rFonts w:hint="eastAsia"/>
          <w:color w:val="auto"/>
          <w:sz w:val="32"/>
          <w:szCs w:val="32"/>
        </w:rPr>
        <w:t>”指标，预期指标值为“</w:t>
      </w:r>
      <w:r>
        <w:rPr>
          <w:rFonts w:ascii="仿宋_GB2312"/>
          <w:color w:val="auto"/>
          <w:sz w:val="32"/>
          <w:szCs w:val="32"/>
        </w:rPr>
        <w:t>2023</w:t>
      </w:r>
      <w:r>
        <w:rPr>
          <w:rFonts w:hint="eastAsia" w:ascii="仿宋_GB2312"/>
          <w:color w:val="auto"/>
          <w:sz w:val="32"/>
          <w:szCs w:val="32"/>
        </w:rPr>
        <w:t>年</w:t>
      </w:r>
      <w:r>
        <w:rPr>
          <w:rFonts w:ascii="仿宋_GB2312"/>
          <w:color w:val="auto"/>
          <w:sz w:val="32"/>
          <w:szCs w:val="32"/>
        </w:rPr>
        <w:t>12</w:t>
      </w:r>
      <w:r>
        <w:rPr>
          <w:rFonts w:hint="eastAsia" w:ascii="仿宋_GB2312"/>
          <w:color w:val="auto"/>
          <w:sz w:val="32"/>
          <w:szCs w:val="32"/>
        </w:rPr>
        <w:t>月25日</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发放资金及时率（%）</w:t>
      </w:r>
      <w:r>
        <w:rPr>
          <w:rFonts w:hint="eastAsia"/>
          <w:color w:val="auto"/>
          <w:sz w:val="32"/>
          <w:szCs w:val="32"/>
        </w:rPr>
        <w:t>”指标，预期指标值为“</w:t>
      </w:r>
      <w:r>
        <w:rPr>
          <w:rFonts w:ascii="仿宋_GB2312"/>
          <w:color w:val="auto"/>
          <w:sz w:val="32"/>
          <w:szCs w:val="32"/>
        </w:rPr>
        <w:t>=100%</w:t>
      </w:r>
      <w:r>
        <w:rPr>
          <w:rFonts w:hint="eastAsia"/>
          <w:color w:val="auto"/>
          <w:sz w:val="32"/>
          <w:szCs w:val="32"/>
        </w:rPr>
        <w:t>”。</w:t>
      </w:r>
    </w:p>
    <w:p>
      <w:pPr>
        <w:numPr>
          <w:ilvl w:val="0"/>
          <w:numId w:val="3"/>
        </w:numPr>
        <w:spacing w:line="600" w:lineRule="exact"/>
        <w:ind w:firstLine="640"/>
        <w:rPr>
          <w:color w:val="auto"/>
          <w:sz w:val="32"/>
          <w:szCs w:val="32"/>
        </w:rPr>
      </w:pPr>
      <w:r>
        <w:rPr>
          <w:rFonts w:hint="eastAsia"/>
          <w:color w:val="auto"/>
          <w:sz w:val="32"/>
          <w:szCs w:val="32"/>
        </w:rPr>
        <w:t>项目成本指标</w:t>
      </w:r>
    </w:p>
    <w:p>
      <w:pPr>
        <w:pStyle w:val="27"/>
        <w:numPr>
          <w:ilvl w:val="0"/>
          <w:numId w:val="0"/>
        </w:numPr>
        <w:spacing w:line="600" w:lineRule="exact"/>
        <w:ind w:left="1360" w:leftChars="0" w:hanging="720" w:firstLineChars="0"/>
      </w:pPr>
      <w:r>
        <w:rPr>
          <w:rFonts w:hint="default" w:ascii="Times New Roman" w:hAnsi="Times New Roman" w:eastAsia="仿宋_GB2312" w:cs="Times New Roman"/>
          <w:kern w:val="2"/>
          <w:sz w:val="32"/>
          <w:szCs w:val="24"/>
          <w:lang w:val="en-US" w:eastAsia="zh-CN" w:bidi="ar-SA"/>
        </w:rPr>
        <w:t>①</w:t>
      </w:r>
      <w:r>
        <w:rPr>
          <w:rFonts w:hint="eastAsia" w:cs="Times New Roman"/>
          <w:kern w:val="2"/>
          <w:sz w:val="32"/>
          <w:szCs w:val="24"/>
          <w:lang w:val="en-US" w:eastAsia="zh-CN" w:bidi="ar-SA"/>
        </w:rPr>
        <w:t>经</w:t>
      </w:r>
      <w:r>
        <w:rPr>
          <w:rFonts w:hint="eastAsia"/>
          <w:sz w:val="32"/>
          <w:szCs w:val="32"/>
        </w:rPr>
        <w:t>济成本指标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消费券活动资金</w:t>
      </w:r>
      <w:r>
        <w:rPr>
          <w:rFonts w:hint="eastAsia"/>
          <w:color w:val="auto"/>
          <w:sz w:val="32"/>
          <w:szCs w:val="32"/>
        </w:rPr>
        <w:t>”指标，预期指标值为“≤</w:t>
      </w:r>
      <w:r>
        <w:rPr>
          <w:rFonts w:hint="eastAsia" w:ascii="仿宋_GB2312"/>
          <w:color w:val="auto"/>
          <w:sz w:val="32"/>
          <w:szCs w:val="32"/>
        </w:rPr>
        <w:t>414.52万元</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②社会成本指标</w:t>
      </w:r>
    </w:p>
    <w:p>
      <w:pPr>
        <w:spacing w:line="600" w:lineRule="exact"/>
        <w:ind w:firstLine="640"/>
        <w:rPr>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③生态环境成本指标</w:t>
      </w:r>
    </w:p>
    <w:p>
      <w:pPr>
        <w:spacing w:line="600" w:lineRule="exact"/>
        <w:ind w:firstLine="640"/>
        <w:rPr>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（3）项目效益指标</w:t>
      </w:r>
    </w:p>
    <w:p>
      <w:pPr>
        <w:spacing w:line="600" w:lineRule="exact"/>
        <w:ind w:firstLine="640"/>
        <w:rPr>
          <w:color w:val="auto"/>
          <w:sz w:val="32"/>
          <w:szCs w:val="32"/>
        </w:rPr>
      </w:pPr>
      <w:r>
        <w:rPr>
          <w:rFonts w:hint="eastAsia"/>
          <w:color w:val="auto"/>
          <w:sz w:val="32"/>
          <w:szCs w:val="32"/>
        </w:rPr>
        <w:t>①经济效益指标</w:t>
      </w:r>
    </w:p>
    <w:p>
      <w:pPr>
        <w:spacing w:line="600" w:lineRule="exact"/>
        <w:ind w:firstLine="640"/>
        <w:rPr>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rPr>
        <w:t>进一步激发市场活力，促进消费回补</w:t>
      </w:r>
      <w:r>
        <w:rPr>
          <w:rFonts w:hint="eastAsia"/>
          <w:color w:val="auto"/>
          <w:sz w:val="32"/>
          <w:szCs w:val="32"/>
        </w:rPr>
        <w:t>”指标，预期指标值为“</w:t>
      </w:r>
      <w:r>
        <w:rPr>
          <w:rFonts w:hint="eastAsia" w:ascii="仿宋_GB2312"/>
          <w:color w:val="auto"/>
          <w:sz w:val="32"/>
          <w:szCs w:val="32"/>
        </w:rPr>
        <w:t>有所促进</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rPr>
        <w:t>激发消费者购物热情，从而推动全县消费市场全面复苏</w:t>
      </w:r>
      <w:r>
        <w:rPr>
          <w:rFonts w:hint="eastAsia"/>
          <w:color w:val="auto"/>
          <w:sz w:val="32"/>
          <w:szCs w:val="32"/>
        </w:rPr>
        <w:t>”指标，预期指标值为“</w:t>
      </w:r>
      <w:r>
        <w:rPr>
          <w:rFonts w:hint="eastAsia" w:ascii="仿宋_GB2312"/>
          <w:color w:val="auto"/>
          <w:sz w:val="32"/>
          <w:szCs w:val="32"/>
          <w:lang w:val="en-US" w:eastAsia="zh-CN"/>
        </w:rPr>
        <w:t>有所</w:t>
      </w:r>
      <w:r>
        <w:rPr>
          <w:rFonts w:hint="eastAsia" w:ascii="仿宋_GB2312"/>
          <w:color w:val="auto"/>
          <w:sz w:val="32"/>
          <w:szCs w:val="32"/>
        </w:rPr>
        <w:t>推动</w:t>
      </w:r>
      <w:r>
        <w:rPr>
          <w:rFonts w:hint="eastAsia"/>
          <w:color w:val="auto"/>
          <w:sz w:val="32"/>
          <w:szCs w:val="32"/>
        </w:rPr>
        <w:t>”</w:t>
      </w:r>
      <w:r>
        <w:rPr>
          <w:rFonts w:hint="eastAsia"/>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color w:val="auto"/>
          <w:sz w:val="32"/>
          <w:szCs w:val="32"/>
        </w:rPr>
      </w:pPr>
      <w:r>
        <w:rPr>
          <w:rFonts w:hint="eastAsia"/>
          <w:color w:val="auto"/>
          <w:sz w:val="32"/>
          <w:szCs w:val="32"/>
        </w:rPr>
        <w:t>无此项指标。</w:t>
      </w:r>
    </w:p>
    <w:p>
      <w:pPr>
        <w:spacing w:line="600" w:lineRule="exact"/>
        <w:ind w:firstLine="640"/>
        <w:rPr>
          <w:color w:val="auto"/>
          <w:sz w:val="32"/>
          <w:szCs w:val="32"/>
        </w:rPr>
      </w:pPr>
      <w:r>
        <w:rPr>
          <w:rFonts w:hint="eastAsia"/>
          <w:color w:val="auto"/>
          <w:sz w:val="32"/>
          <w:szCs w:val="32"/>
        </w:rPr>
        <w:t>（4）相关满意度目标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rPr>
        <w:t>受益对象满意度（%）</w:t>
      </w:r>
      <w:r>
        <w:rPr>
          <w:rFonts w:hint="eastAsia"/>
          <w:color w:val="auto"/>
          <w:sz w:val="32"/>
          <w:szCs w:val="32"/>
        </w:rPr>
        <w:t>”指标，预期指标值为“</w:t>
      </w:r>
      <w:r>
        <w:rPr>
          <w:rFonts w:hint="eastAsia" w:ascii="仿宋_GB2312"/>
          <w:color w:val="auto"/>
          <w:sz w:val="32"/>
          <w:szCs w:val="32"/>
        </w:rPr>
        <w:t>≥95</w:t>
      </w:r>
      <w:r>
        <w:rPr>
          <w:rFonts w:ascii="仿宋_GB2312"/>
          <w:color w:val="auto"/>
          <w:sz w:val="32"/>
          <w:szCs w:val="32"/>
        </w:rPr>
        <w:t>%</w:t>
      </w:r>
      <w:r>
        <w:rPr>
          <w:rFonts w:hint="eastAsia"/>
          <w:color w:val="auto"/>
          <w:sz w:val="32"/>
          <w:szCs w:val="32"/>
        </w:rPr>
        <w:t>”</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5"/>
        </w:numPr>
        <w:spacing w:line="600" w:lineRule="exact"/>
        <w:ind w:firstLine="640"/>
        <w:rPr>
          <w:rFonts w:ascii="楷体_GB2312" w:eastAsia="楷体_GB2312"/>
          <w:szCs w:val="32"/>
        </w:rPr>
      </w:pPr>
      <w:bookmarkStart w:id="1" w:name="_Toc12868"/>
      <w:bookmarkStart w:id="2" w:name="_Toc22169_WPSOffice_Level2"/>
      <w:bookmarkStart w:id="3" w:name="_Toc21664"/>
      <w:bookmarkStart w:id="4" w:name="_Toc22922"/>
      <w:bookmarkStart w:id="5" w:name="_Toc5462343"/>
      <w:bookmarkStart w:id="6" w:name="_Toc5258"/>
      <w:bookmarkStart w:id="7" w:name="_Toc480473081"/>
      <w:bookmarkStart w:id="8" w:name="_Toc2663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ind w:firstLine="640"/>
        <w:rPr>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ind w:firstLine="640"/>
        <w:rPr>
          <w:b/>
          <w:bCs/>
          <w:sz w:val="32"/>
          <w:szCs w:val="32"/>
        </w:rPr>
      </w:pPr>
      <w:r>
        <w:rPr>
          <w:rFonts w:hint="eastAsia"/>
          <w:b/>
          <w:bCs/>
          <w:sz w:val="32"/>
          <w:szCs w:val="32"/>
        </w:rPr>
        <w:t>2.绩效评价的对象和范围</w:t>
      </w:r>
    </w:p>
    <w:p>
      <w:pPr>
        <w:spacing w:line="600" w:lineRule="exact"/>
        <w:ind w:firstLine="640"/>
        <w:rPr>
          <w:rFonts w:ascii="仿宋_GB2312"/>
          <w:color w:val="000000" w:themeColor="text1"/>
          <w:sz w:val="32"/>
          <w:szCs w:val="32"/>
        </w:rPr>
      </w:pPr>
      <w:r>
        <w:rPr>
          <w:rFonts w:hint="eastAsia" w:ascii="仿宋_GB2312" w:hAnsi="仿宋_GB2312" w:cs="仿宋_GB2312"/>
          <w:color w:val="000000" w:themeColor="text1"/>
          <w:sz w:val="32"/>
          <w:szCs w:val="32"/>
        </w:rPr>
        <w:t>本次绩效评价遵循财政部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以及自治区财政厅《自治区财政支出绩效评价管理暂行办法》（新财预〔2018〕189号）等文件规定，</w:t>
      </w:r>
      <w:r>
        <w:rPr>
          <w:rFonts w:hint="eastAsia" w:ascii="仿宋_GB2312"/>
          <w:color w:val="000000" w:themeColor="text1"/>
          <w:sz w:val="32"/>
          <w:szCs w:val="32"/>
        </w:rPr>
        <w:t>对2023年度我单位实施</w:t>
      </w:r>
      <w:r>
        <w:rPr>
          <w:rFonts w:hint="eastAsia" w:ascii="仿宋_GB2312" w:hAnsi="仿宋_GB2312" w:cs="仿宋_GB2312"/>
          <w:color w:val="000000" w:themeColor="text1"/>
          <w:sz w:val="32"/>
          <w:szCs w:val="32"/>
        </w:rPr>
        <w:t>的裕民县促进消费市场发展专项资金（政府发放消费券）项目开展部门绩效评价，主要围绕项目资金使用情况、财务管理状况和资产配置、使用</w:t>
      </w:r>
      <w:r>
        <w:rPr>
          <w:rFonts w:hint="eastAsia" w:ascii="仿宋_GB2312"/>
          <w:color w:val="000000" w:themeColor="text1"/>
          <w:sz w:val="32"/>
          <w:szCs w:val="32"/>
        </w:rPr>
        <w:t>、处置及其收益管理情况；项目管理相关制度及措施是否被认真执行；绩效目标的实现程度，包括是否达到预定产出和效果等方面开展综合评价。</w:t>
      </w:r>
    </w:p>
    <w:p>
      <w:pPr>
        <w:pStyle w:val="4"/>
        <w:numPr>
          <w:ilvl w:val="0"/>
          <w:numId w:val="5"/>
        </w:numPr>
        <w:spacing w:line="600" w:lineRule="exact"/>
        <w:ind w:firstLine="640"/>
        <w:rPr>
          <w:rFonts w:ascii="楷体_GB2312" w:eastAsia="楷体_GB2312"/>
          <w:szCs w:val="32"/>
        </w:rPr>
      </w:pPr>
      <w:r>
        <w:rPr>
          <w:rFonts w:hint="eastAsia" w:ascii="楷体_GB2312" w:eastAsia="楷体_GB2312"/>
          <w:szCs w:val="32"/>
        </w:rPr>
        <w:t>评价工作简述</w:t>
      </w:r>
    </w:p>
    <w:p>
      <w:pPr>
        <w:ind w:firstLine="640"/>
        <w:rPr>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裕民县促进消费市场发展专项资金（政府发放消费券）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ind w:firstLine="640"/>
        <w:rPr>
          <w:b/>
          <w:bCs/>
          <w:sz w:val="32"/>
          <w:szCs w:val="32"/>
        </w:rPr>
      </w:pPr>
      <w:bookmarkStart w:id="9" w:name="_Toc1913"/>
      <w:bookmarkStart w:id="10" w:name="_Toc419984722"/>
      <w:bookmarkStart w:id="11" w:name="_Toc26131"/>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绩效评价指标体系根据财政部</w:t>
      </w:r>
      <w:r>
        <w:rPr>
          <w:rFonts w:hint="eastAsia" w:ascii="仿宋_GB2312" w:hAnsi="Arial" w:cs="宋体"/>
          <w:bCs/>
          <w:color w:val="000000" w:themeColor="text1"/>
          <w:sz w:val="32"/>
          <w:szCs w:val="32"/>
        </w:rPr>
        <w:t>《关于印发&lt;项目支出绩效评价管理办法&gt;的通知》（财预</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2020</w:t>
      </w:r>
      <w:r>
        <w:rPr>
          <w:rFonts w:hint="eastAsia" w:ascii="仿宋_GB2312" w:hAnsi="微软雅黑" w:cs="微软雅黑"/>
          <w:bCs/>
          <w:color w:val="000000" w:themeColor="text1"/>
          <w:sz w:val="32"/>
          <w:szCs w:val="32"/>
        </w:rPr>
        <w:t>〕</w:t>
      </w:r>
      <w:r>
        <w:rPr>
          <w:rFonts w:hint="eastAsia" w:ascii="仿宋_GB2312" w:hAnsi="Arial" w:cs="宋体"/>
          <w:bCs/>
          <w:color w:val="000000" w:themeColor="text1"/>
          <w:sz w:val="32"/>
          <w:szCs w:val="32"/>
        </w:rPr>
        <w:t>10号）、</w:t>
      </w:r>
      <w:r>
        <w:rPr>
          <w:rFonts w:hint="eastAsia" w:ascii="仿宋_GB2312" w:hAnsi="仿宋_GB2312" w:cs="仿宋_GB2312"/>
          <w:color w:val="000000" w:themeColor="text1"/>
          <w:sz w:val="32"/>
          <w:szCs w:val="32"/>
        </w:rPr>
        <w:t>自治区财政厅《自治区财政支出绩效评价管理暂行办法》（新财预〔2018〕189号）</w:t>
      </w:r>
      <w:r>
        <w:rPr>
          <w:rFonts w:hint="eastAsia" w:ascii="仿宋_GB2312"/>
          <w:color w:val="000000" w:themeColor="text1"/>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一级指标为：决策、过程、产出、成本、效益。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二级指标为：项目立项、绩效目标、资金投入、资金管理、组织实施、产出数量、产出质量、产出时效、经济成本、项目效益。</w:t>
      </w:r>
    </w:p>
    <w:p>
      <w:pPr>
        <w:spacing w:line="600" w:lineRule="exact"/>
        <w:ind w:firstLine="640"/>
        <w:rPr>
          <w:rFonts w:ascii="仿宋_GB2312"/>
          <w:color w:val="000000" w:themeColor="text1"/>
          <w:sz w:val="32"/>
          <w:szCs w:val="32"/>
        </w:rPr>
      </w:pPr>
      <w:r>
        <w:rPr>
          <w:rFonts w:hint="eastAsia" w:ascii="仿宋_GB2312"/>
          <w:color w:val="000000" w:themeColor="text1"/>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000000" w:themeColor="text1"/>
          <w:sz w:val="32"/>
          <w:szCs w:val="32"/>
          <w:lang w:val="en-US" w:eastAsia="zh-CN"/>
        </w:rPr>
        <w:t>成本控制率、</w:t>
      </w:r>
      <w:r>
        <w:rPr>
          <w:rFonts w:hint="eastAsia" w:ascii="仿宋_GB2312"/>
          <w:color w:val="000000" w:themeColor="text1"/>
          <w:sz w:val="32"/>
          <w:szCs w:val="32"/>
        </w:rPr>
        <w:t>社会效益、服务对象满意度。</w:t>
      </w:r>
    </w:p>
    <w:p>
      <w:pPr>
        <w:ind w:firstLine="640"/>
        <w:rPr>
          <w:b/>
          <w:bCs/>
          <w:sz w:val="32"/>
          <w:szCs w:val="32"/>
        </w:rPr>
      </w:pPr>
      <w:r>
        <w:rPr>
          <w:rFonts w:hint="eastAsia"/>
          <w:b/>
          <w:bCs/>
          <w:sz w:val="32"/>
          <w:szCs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ind w:firstLine="640"/>
        <w:rPr>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ascii="仿宋_GB2312" w:hAns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朱林任评价组组长，绩效评价工作职责为检查项目绩效指标完成情况、审定项目支出绩效评价结果及项目支出绩效评价报告。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陈雷任评价组副组长，绩效评价工作职责为组织和协调项目工作人员采取实地调查、资料检查等方式，核实项目绩效指标完成情况；组织受益对象对项目工作进行评价等。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rPr>
        <w:t>谭新湖、冯新敏、加娜提任评价组成员，绩效评价工作职责为做好项目支出绩效评价工作的沟通协调</w:t>
      </w:r>
      <w:r>
        <w:rPr>
          <w:rFonts w:hint="eastAsia" w:ascii="仿宋_GB2312" w:hAnsi="仿宋_GB2312" w:cs="仿宋_GB2312"/>
          <w:sz w:val="32"/>
          <w:szCs w:val="32"/>
        </w:rPr>
        <w:t>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经评价组通过实地调研、查阅资料等方式，采用综合分析法对项目的决策、管理、绩效进行的综合评价分析。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sz w:val="32"/>
          <w:szCs w:val="32"/>
        </w:rPr>
        <w:t>通过裕民县促进消费市场发展专项资金（政府发放消费券）项目的实施，解决了促进短期消费和恢复消费信心、增加商家短期收入、缓解经营压力等问题，实现了拉动消费增长，支持中小企业、促进就业和产业结构转型，从而达到进一步激发市场活力，促进消费回补、激发消费者购物热情，从而推动全县消费市场全面复苏效益，该项目预算执行率达</w:t>
      </w:r>
      <w:r>
        <w:rPr>
          <w:rFonts w:hint="eastAsia" w:ascii="仿宋_GB2312"/>
          <w:sz w:val="32"/>
          <w:szCs w:val="32"/>
          <w:lang w:val="en-US" w:eastAsia="zh-CN"/>
        </w:rPr>
        <w:t>100</w:t>
      </w:r>
      <w:r>
        <w:rPr>
          <w:rFonts w:hint="eastAsia" w:ascii="仿宋_GB2312"/>
          <w:sz w:val="32"/>
          <w:szCs w:val="32"/>
        </w:rPr>
        <w:t>%，项目预期绩效目标及各项具体指标均已全部达成。该项目已实施完成，资金已支付到位。</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本次评价采取定量与定性评价相结合的方式，对裕民县促进消费市场发展专项资金（政府发放消费券）项目的绩效目标和各项具体绩效指标实现情况进行了客观评价，</w:t>
      </w:r>
      <w:r>
        <w:rPr>
          <w:rFonts w:hint="eastAsia" w:ascii="仿宋_GB2312" w:hAnsi="仿宋_GB2312" w:cs="仿宋_GB2312"/>
          <w:bCs/>
          <w:sz w:val="32"/>
          <w:szCs w:val="32"/>
          <w:highlight w:val="none"/>
        </w:rPr>
        <w:t>最终评分为</w:t>
      </w:r>
      <w:r>
        <w:rPr>
          <w:rFonts w:hint="eastAsia" w:ascii="仿宋_GB2312" w:hAnsi="仿宋_GB2312" w:cs="仿宋_GB2312"/>
          <w:bCs/>
          <w:sz w:val="32"/>
          <w:szCs w:val="32"/>
          <w:highlight w:val="none"/>
          <w:lang w:val="en-US" w:eastAsia="zh-CN"/>
        </w:rPr>
        <w:t>90</w:t>
      </w:r>
      <w:r>
        <w:rPr>
          <w:rFonts w:hint="eastAsia" w:ascii="仿宋_GB2312" w:hAnsi="仿宋_GB2312" w:cs="仿宋_GB2312"/>
          <w:bCs/>
          <w:sz w:val="32"/>
          <w:szCs w:val="32"/>
          <w:highlight w:val="none"/>
        </w:rPr>
        <w:t>分。绩效评级为“优”，具体得分情况为：项目决策15分、项目过程1</w:t>
      </w:r>
      <w:r>
        <w:rPr>
          <w:rFonts w:hint="eastAsia" w:ascii="仿宋_GB2312" w:hAnsi="仿宋_GB2312" w:cs="仿宋_GB2312"/>
          <w:bCs/>
          <w:sz w:val="32"/>
          <w:szCs w:val="32"/>
          <w:highlight w:val="none"/>
          <w:lang w:val="en-US" w:eastAsia="zh-CN"/>
        </w:rPr>
        <w:t>5</w:t>
      </w:r>
      <w:r>
        <w:rPr>
          <w:rFonts w:hint="eastAsia" w:ascii="仿宋_GB2312" w:hAnsi="仿宋_GB2312" w:cs="仿宋_GB2312"/>
          <w:bCs/>
          <w:sz w:val="32"/>
          <w:szCs w:val="32"/>
          <w:highlight w:val="none"/>
        </w:rPr>
        <w:t>分、项目产出40分、项目效益20分、项目满意度0分。</w:t>
      </w:r>
    </w:p>
    <w:p>
      <w:pPr>
        <w:pStyle w:val="3"/>
        <w:spacing w:line="600" w:lineRule="exact"/>
        <w:ind w:firstLine="640"/>
        <w:rPr>
          <w:szCs w:val="32"/>
        </w:rPr>
      </w:pPr>
      <w:r>
        <w:rPr>
          <w:rFonts w:hint="eastAsia"/>
          <w:szCs w:val="32"/>
        </w:rPr>
        <w:t>四、绩效评价指标分析</w:t>
      </w:r>
    </w:p>
    <w:p>
      <w:pPr>
        <w:pStyle w:val="4"/>
        <w:spacing w:line="600" w:lineRule="exact"/>
        <w:ind w:firstLine="640"/>
        <w:rPr>
          <w:rFonts w:ascii="楷体_GB2312" w:eastAsia="楷体_GB2312"/>
          <w:szCs w:val="32"/>
        </w:rPr>
      </w:pPr>
      <w:r>
        <w:rPr>
          <w:rFonts w:hint="eastAsia" w:ascii="楷体_GB2312" w:eastAsia="楷体_GB2312"/>
          <w:szCs w:val="32"/>
        </w:rPr>
        <w:t>（一）项目决策情况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hAnsi="仿宋_GB2312" w:cs="仿宋_GB2312"/>
          <w:sz w:val="32"/>
          <w:szCs w:val="32"/>
        </w:rPr>
        <w:t>项目决策类指标从项目</w:t>
      </w:r>
      <w:r>
        <w:rPr>
          <w:rFonts w:hint="eastAsia" w:ascii="仿宋_GB2312" w:hAnsi="仿宋_GB2312" w:cs="仿宋_GB2312"/>
          <w:color w:val="auto"/>
          <w:sz w:val="32"/>
          <w:szCs w:val="32"/>
        </w:rPr>
        <w:t>立项、绩效目标和资金投入三个方面评价项目前期准备工作，权重分值为 15 分，本项目实际得分</w:t>
      </w:r>
      <w:r>
        <w:rPr>
          <w:rFonts w:hint="eastAsia" w:ascii="仿宋_GB2312"/>
          <w:color w:val="auto"/>
          <w:sz w:val="32"/>
          <w:szCs w:val="32"/>
        </w:rPr>
        <w:t>15</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pStyle w:val="24"/>
        <w:spacing w:line="600" w:lineRule="exact"/>
        <w:ind w:firstLine="734"/>
        <w:rPr>
          <w:rFonts w:cs="仿宋_GB2312"/>
          <w:color w:val="FF0000"/>
        </w:rPr>
      </w:pPr>
      <w:r>
        <w:rPr>
          <w:rFonts w:hint="eastAsia" w:cs="仿宋_GB2312"/>
          <w:b/>
          <w:bCs/>
        </w:rPr>
        <w:t>1.立项依据充分性</w:t>
      </w:r>
      <w:r>
        <w:rPr>
          <w:rFonts w:hint="eastAsia" w:cs="仿宋_GB2312"/>
          <w:b/>
          <w:bCs/>
          <w:color w:val="auto"/>
        </w:rPr>
        <w:t>：</w:t>
      </w:r>
      <w:r>
        <w:rPr>
          <w:rFonts w:hint="eastAsia" w:cs="仿宋_GB2312"/>
          <w:color w:val="auto"/>
        </w:rPr>
        <w:t>本项目是由裕民县商务和工业信息化局单位提出申报</w:t>
      </w:r>
      <w:r>
        <w:rPr>
          <w:rFonts w:cs="仿宋_GB2312"/>
          <w:color w:val="auto"/>
        </w:rPr>
        <w:t>，</w:t>
      </w:r>
      <w:r>
        <w:rPr>
          <w:rFonts w:hint="eastAsia" w:cs="仿宋_GB2312"/>
          <w:color w:val="auto"/>
        </w:rPr>
        <w:t>于2023年1月批复设立</w:t>
      </w:r>
      <w:r>
        <w:rPr>
          <w:rFonts w:cs="仿宋_GB2312"/>
          <w:color w:val="auto"/>
        </w:rPr>
        <w:t>，202</w:t>
      </w:r>
      <w:r>
        <w:rPr>
          <w:rFonts w:hint="eastAsia" w:cs="仿宋_GB2312"/>
          <w:color w:val="auto"/>
        </w:rPr>
        <w:t>3年我单位根据《</w:t>
      </w:r>
      <w:r>
        <w:rPr>
          <w:rFonts w:hint="eastAsia"/>
          <w:color w:val="auto"/>
        </w:rPr>
        <w:t>关于对春节期间组织开展政府消费券发放活动的请示的批复》（裕政批[2023]6号）、《裕民县消费券发放工作方案》</w:t>
      </w:r>
      <w:r>
        <w:rPr>
          <w:rFonts w:hint="eastAsia" w:cs="仿宋_GB2312"/>
          <w:color w:val="auto"/>
        </w:rPr>
        <w:t>要求组织实施该项目。</w:t>
      </w:r>
      <w:r>
        <w:rPr>
          <w:rFonts w:hint="eastAsia" w:hAnsi="仿宋_GB2312" w:cs="仿宋_GB2312"/>
          <w:color w:val="auto"/>
          <w:spacing w:val="0"/>
        </w:rPr>
        <w:t>项目立项符合国家法律法规、自治区和地区行业发展规划和政策要求，属于本部门履职所需。</w:t>
      </w:r>
      <w:r>
        <w:rPr>
          <w:rFonts w:hint="eastAsia" w:cs="仿宋_GB2312"/>
          <w:color w:val="auto"/>
        </w:rPr>
        <w:t>根据评分标准，该指标2.5分，得2.5分。</w:t>
      </w:r>
    </w:p>
    <w:p>
      <w:pPr>
        <w:pStyle w:val="24"/>
        <w:spacing w:line="600" w:lineRule="exact"/>
        <w:ind w:firstLine="734"/>
        <w:rPr>
          <w:rFonts w:cs="仿宋_GB2312"/>
          <w:color w:val="auto"/>
        </w:rPr>
      </w:pPr>
      <w:r>
        <w:rPr>
          <w:rFonts w:hint="eastAsia" w:cs="仿宋_GB2312"/>
          <w:b/>
          <w:bCs/>
        </w:rPr>
        <w:t>2.立项程序规范性：</w:t>
      </w:r>
      <w:r>
        <w:rPr>
          <w:rFonts w:hint="eastAsia" w:cs="仿宋_GB2312"/>
          <w:color w:val="auto"/>
        </w:rPr>
        <w:t>根据决策依据编制</w:t>
      </w:r>
      <w:r>
        <w:rPr>
          <w:rFonts w:hint="eastAsia" w:cs="仿宋_GB2312"/>
          <w:color w:val="auto"/>
          <w:lang w:val="en-US" w:eastAsia="zh-CN"/>
        </w:rPr>
        <w:t>发放</w:t>
      </w:r>
      <w:r>
        <w:rPr>
          <w:rFonts w:hint="eastAsia" w:cs="仿宋_GB2312"/>
          <w:color w:val="auto"/>
        </w:rPr>
        <w:t>工作</w:t>
      </w:r>
      <w:r>
        <w:rPr>
          <w:rFonts w:hint="eastAsia" w:cs="仿宋_GB2312"/>
          <w:color w:val="auto"/>
          <w:lang w:val="en-US" w:eastAsia="zh-CN"/>
        </w:rPr>
        <w:t>实施方案，业务人员</w:t>
      </w:r>
      <w:r>
        <w:rPr>
          <w:rFonts w:hint="eastAsia" w:cs="仿宋_GB2312"/>
          <w:color w:val="auto"/>
        </w:rPr>
        <w:t>与部门分管领导进行沟通、</w:t>
      </w:r>
      <w:r>
        <w:rPr>
          <w:rFonts w:hint="eastAsia" w:cs="仿宋_GB2312"/>
          <w:color w:val="auto"/>
          <w:lang w:val="en-US" w:eastAsia="zh-CN"/>
        </w:rPr>
        <w:t>分析</w:t>
      </w:r>
      <w:r>
        <w:rPr>
          <w:rFonts w:hint="eastAsia" w:cs="仿宋_GB2312"/>
          <w:color w:val="auto"/>
        </w:rPr>
        <w:t>确定经费预算计划，上党</w:t>
      </w:r>
      <w:r>
        <w:rPr>
          <w:rFonts w:hint="eastAsia" w:cs="仿宋_GB2312"/>
          <w:color w:val="auto"/>
          <w:lang w:val="en-US" w:eastAsia="zh-CN"/>
        </w:rPr>
        <w:t>组</w:t>
      </w:r>
      <w:r>
        <w:rPr>
          <w:rFonts w:hint="eastAsia" w:cs="仿宋_GB2312"/>
          <w:color w:val="auto"/>
        </w:rPr>
        <w:t>会研究确定最终方案</w:t>
      </w:r>
      <w:r>
        <w:rPr>
          <w:rFonts w:cs="仿宋_GB2312"/>
          <w:color w:val="auto"/>
        </w:rPr>
        <w:t>。</w:t>
      </w:r>
      <w:r>
        <w:rPr>
          <w:rFonts w:hint="eastAsia" w:cs="仿宋_GB2312"/>
          <w:color w:val="auto"/>
          <w:lang w:val="en-US" w:eastAsia="zh-CN"/>
        </w:rPr>
        <w:t>之后最终方案上报县人民政府会议研究决定，县人民政府确定方案批复后，根据方案进一步实施。</w:t>
      </w:r>
      <w:r>
        <w:rPr>
          <w:rFonts w:hint="eastAsia" w:cs="仿宋_GB2312"/>
          <w:color w:val="auto"/>
        </w:rPr>
        <w:t>根据评分标准，该指标2.5分，得2.5分。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：本项目制定了项目支出绩效目标，明确了项目总体思路及总目标、并对项目任务进行了详细分解，对目标进行了细化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预算编制经过科学论证，内容与项目内容匹配，项目投资额与工作任务相匹配，根据评分标准，该指标3分，得3分。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rPr>
        <w:t>本项目资金分配依据充分，资金分配额度合理，与项目地方实际相适应。根据评分标准，该指标2分，得2分。</w:t>
      </w:r>
    </w:p>
    <w:p>
      <w:pPr>
        <w:pStyle w:val="4"/>
        <w:spacing w:line="600" w:lineRule="exact"/>
        <w:ind w:firstLine="640"/>
        <w:rPr>
          <w:rFonts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rPr>
      </w:pPr>
      <w:r>
        <w:rPr>
          <w:rFonts w:hint="eastAsia" w:ascii="仿宋_GB2312" w:cs="仿宋_GB2312"/>
          <w:sz w:val="32"/>
          <w:szCs w:val="32"/>
        </w:rPr>
        <w:t>项目过程类指标包括资金管理和组织实施两方面的内容，由 5个三级指标构</w:t>
      </w:r>
      <w:r>
        <w:rPr>
          <w:rFonts w:hint="eastAsia" w:ascii="仿宋_GB2312" w:cs="仿宋_GB2312"/>
          <w:color w:val="auto"/>
          <w:sz w:val="32"/>
          <w:szCs w:val="32"/>
        </w:rPr>
        <w:t>成，</w:t>
      </w:r>
      <w:r>
        <w:rPr>
          <w:rFonts w:hint="eastAsia" w:ascii="仿宋_GB2312" w:hAnsi="仿宋_GB2312" w:cs="仿宋_GB2312"/>
          <w:color w:val="auto"/>
          <w:sz w:val="32"/>
          <w:szCs w:val="32"/>
        </w:rPr>
        <w:t>权重分值为 15 分，本项目实际得分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 xml:space="preserve">该项目所需财政资金能够足额拨付到位，牵头单位能够及时足额按照合同约定将专项资金拨付给单位，根据评分标准，该指标2分，得2分。   </w:t>
      </w:r>
    </w:p>
    <w:p>
      <w:pPr>
        <w:spacing w:line="600" w:lineRule="exact"/>
        <w:ind w:firstLine="640"/>
        <w:rPr>
          <w:rFonts w:ascii="仿宋_GB2312" w:cs="仿宋_GB2312"/>
          <w:color w:val="FF0000"/>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rPr>
        <w:t>：本项目预</w:t>
      </w:r>
      <w:r>
        <w:rPr>
          <w:rFonts w:hint="eastAsia" w:ascii="仿宋_GB2312" w:cs="仿宋_GB2312"/>
          <w:color w:val="auto"/>
          <w:sz w:val="32"/>
          <w:szCs w:val="32"/>
        </w:rPr>
        <w:t>算编制较为详细，预算资金414.52万元</w:t>
      </w:r>
      <w:r>
        <w:rPr>
          <w:rFonts w:ascii="仿宋_GB2312" w:cs="仿宋_GB2312"/>
          <w:color w:val="auto"/>
          <w:sz w:val="32"/>
          <w:szCs w:val="32"/>
        </w:rPr>
        <w:t>，</w:t>
      </w:r>
      <w:r>
        <w:rPr>
          <w:rFonts w:hint="eastAsia" w:ascii="仿宋_GB2312" w:cs="仿宋_GB2312"/>
          <w:color w:val="auto"/>
          <w:sz w:val="32"/>
          <w:szCs w:val="32"/>
        </w:rPr>
        <w:t>实际执行</w:t>
      </w:r>
      <w:r>
        <w:rPr>
          <w:rFonts w:hint="eastAsia" w:ascii="仿宋_GB2312" w:cs="仿宋_GB2312"/>
          <w:color w:val="auto"/>
          <w:sz w:val="32"/>
          <w:szCs w:val="32"/>
          <w:lang w:val="en-US" w:eastAsia="zh-CN"/>
        </w:rPr>
        <w:t>41</w:t>
      </w:r>
      <w:r>
        <w:rPr>
          <w:rFonts w:hint="eastAsia" w:ascii="仿宋_GB2312" w:cs="仿宋_GB2312"/>
          <w:color w:val="auto"/>
          <w:sz w:val="32"/>
          <w:szCs w:val="32"/>
        </w:rPr>
        <w:t>4.52万元，预算执行率为</w:t>
      </w:r>
      <w:r>
        <w:rPr>
          <w:rFonts w:hint="eastAsia" w:ascii="仿宋_GB2312" w:cs="仿宋_GB2312"/>
          <w:color w:val="auto"/>
          <w:sz w:val="32"/>
          <w:szCs w:val="32"/>
          <w:lang w:val="en-US" w:eastAsia="zh-CN"/>
        </w:rPr>
        <w:t>100</w:t>
      </w:r>
      <w:r>
        <w:rPr>
          <w:rFonts w:ascii="仿宋_GB2312" w:cs="仿宋_GB2312"/>
          <w:color w:val="auto"/>
          <w:sz w:val="32"/>
          <w:szCs w:val="32"/>
        </w:rPr>
        <w:t>%</w:t>
      </w:r>
      <w:r>
        <w:rPr>
          <w:rFonts w:hint="eastAsia" w:ascii="仿宋_GB2312" w:cs="仿宋_GB2312"/>
          <w:color w:val="auto"/>
          <w:sz w:val="32"/>
          <w:szCs w:val="32"/>
        </w:rPr>
        <w:t>，项目资金支出总体能够按照预算执行支付到位。根据评分标准，该指标2分，得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0"/>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rPr>
        <w:t>项目任务下达后</w:t>
      </w:r>
      <w:r>
        <w:rPr>
          <w:rFonts w:ascii="仿宋_GB2312" w:cs="仿宋_GB2312"/>
          <w:color w:val="auto"/>
          <w:sz w:val="32"/>
          <w:szCs w:val="32"/>
        </w:rPr>
        <w:t>，</w:t>
      </w:r>
      <w:r>
        <w:rPr>
          <w:rFonts w:hint="eastAsia" w:ascii="仿宋_GB2312" w:cs="仿宋_GB2312"/>
          <w:color w:val="auto"/>
          <w:sz w:val="32"/>
          <w:szCs w:val="32"/>
        </w:rPr>
        <w:t>我单位完善了制度和管理规定对经费使用进行规范管理，财务制度健全、执行严格。</w:t>
      </w:r>
      <w:r>
        <w:rPr>
          <w:rFonts w:hint="eastAsia" w:ascii="仿宋_GB2312"/>
          <w:color w:val="auto"/>
          <w:szCs w:val="28"/>
        </w:rPr>
        <w:t>资金的使用符合国家财经法规和财务管理制度以及有关专项资金管理办法的规定。同时，资金的拨付有完整的审批程序和手续，符合项目预算批复或合同规定的用途，不存在截留、挤占、挪用、虚列支出等情况。</w:t>
      </w:r>
      <w:r>
        <w:rPr>
          <w:rFonts w:hint="eastAsia" w:ascii="仿宋_GB2312" w:cs="仿宋_GB2312"/>
          <w:color w:val="auto"/>
          <w:sz w:val="32"/>
          <w:szCs w:val="32"/>
        </w:rPr>
        <w:t>根据评分标准，该指标3分，得3分。</w:t>
      </w:r>
    </w:p>
    <w:p>
      <w:pPr>
        <w:spacing w:line="600" w:lineRule="exact"/>
        <w:ind w:firstLine="640"/>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rPr>
        <w:t>我单位制定了</w:t>
      </w:r>
      <w:r>
        <w:rPr>
          <w:rFonts w:ascii="仿宋_GB2312" w:cs="仿宋_GB2312"/>
          <w:color w:val="auto"/>
          <w:sz w:val="32"/>
          <w:szCs w:val="32"/>
        </w:rPr>
        <w:t>《</w:t>
      </w:r>
      <w:r>
        <w:rPr>
          <w:rFonts w:hint="eastAsia" w:ascii="仿宋_GB2312" w:cs="仿宋_GB2312"/>
          <w:color w:val="auto"/>
          <w:sz w:val="32"/>
          <w:szCs w:val="32"/>
        </w:rPr>
        <w:t>专项资金管理办法</w:t>
      </w:r>
      <w:r>
        <w:rPr>
          <w:rFonts w:ascii="仿宋_GB2312" w:cs="仿宋_GB2312"/>
          <w:color w:val="auto"/>
          <w:sz w:val="32"/>
          <w:szCs w:val="32"/>
        </w:rPr>
        <w:t>》</w:t>
      </w:r>
      <w:r>
        <w:rPr>
          <w:rFonts w:hint="eastAsia" w:ascii="仿宋_GB2312" w:cs="仿宋_GB2312"/>
          <w:color w:val="auto"/>
          <w:sz w:val="32"/>
          <w:szCs w:val="32"/>
        </w:rPr>
        <w:t>等</w:t>
      </w:r>
      <w:r>
        <w:rPr>
          <w:rFonts w:ascii="仿宋_GB2312" w:cs="仿宋_GB2312"/>
          <w:color w:val="auto"/>
          <w:sz w:val="32"/>
          <w:szCs w:val="32"/>
        </w:rPr>
        <w:t>相关</w:t>
      </w:r>
      <w:r>
        <w:rPr>
          <w:rFonts w:hint="eastAsia" w:ascii="仿宋_GB2312" w:cs="仿宋_GB2312"/>
          <w:color w:val="auto"/>
          <w:sz w:val="32"/>
          <w:szCs w:val="32"/>
        </w:rPr>
        <w:t>项目</w:t>
      </w:r>
      <w:r>
        <w:rPr>
          <w:rFonts w:ascii="仿宋_GB2312" w:cs="仿宋_GB2312"/>
          <w:color w:val="auto"/>
          <w:sz w:val="32"/>
          <w:szCs w:val="32"/>
        </w:rPr>
        <w:t>管理办法，</w:t>
      </w:r>
      <w:r>
        <w:rPr>
          <w:rFonts w:hint="eastAsia" w:ascii="仿宋_GB2312" w:cs="仿宋_GB2312"/>
          <w:color w:val="auto"/>
          <w:sz w:val="32"/>
          <w:szCs w:val="32"/>
        </w:rPr>
        <w:t>同时对财政专项资金进行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管理，基本做到了专款专用，根据评分标准，该指标4分，得4分。</w:t>
      </w:r>
    </w:p>
    <w:p>
      <w:pPr>
        <w:spacing w:line="600" w:lineRule="exact"/>
        <w:ind w:firstLine="640"/>
        <w:rPr>
          <w:rFonts w:ascii="仿宋_GB2312" w:cs="仿宋_GB2312"/>
          <w:color w:val="FF0000"/>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：由部门提出经费预算支出可行性方案，经县人民政府批复后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组织</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研究执行，财务对资金的使用合法合规性进行监督，年底对资金使用效果进行自评，根据评分标准，该指标4分，得4分。</w:t>
      </w:r>
    </w:p>
    <w:p>
      <w:pPr>
        <w:pStyle w:val="4"/>
        <w:spacing w:line="600" w:lineRule="exact"/>
        <w:ind w:firstLine="640"/>
        <w:rPr>
          <w:rFonts w:ascii="楷体_GB2312" w:eastAsia="楷体_GB2312"/>
          <w:szCs w:val="32"/>
        </w:rPr>
      </w:pPr>
      <w:r>
        <w:rPr>
          <w:rFonts w:hint="eastAsia" w:ascii="楷体_GB2312" w:eastAsia="楷体_GB2312"/>
          <w:szCs w:val="32"/>
        </w:rPr>
        <w:t>（三）项目产出情况</w:t>
      </w:r>
    </w:p>
    <w:p>
      <w:pPr>
        <w:overflowPunct w:val="0"/>
        <w:spacing w:line="600" w:lineRule="exact"/>
        <w:ind w:firstLine="640"/>
        <w:contextualSpacing/>
        <w:rPr>
          <w:rFonts w:ascii="仿宋_GB2312" w:hAnsi="仿宋_GB2312" w:cs="仿宋_GB2312"/>
          <w:sz w:val="32"/>
          <w:szCs w:val="32"/>
        </w:rPr>
      </w:pPr>
      <w:r>
        <w:rPr>
          <w:rFonts w:hint="eastAsia" w:ascii="仿宋_GB2312" w:cs="仿宋_GB2312"/>
          <w:sz w:val="32"/>
          <w:szCs w:val="32"/>
        </w:rPr>
        <w:t>项目产出</w:t>
      </w:r>
      <w:r>
        <w:rPr>
          <w:rFonts w:hint="eastAsia" w:ascii="仿宋_GB2312" w:cs="仿宋_GB2312"/>
          <w:color w:val="auto"/>
          <w:sz w:val="32"/>
          <w:szCs w:val="32"/>
        </w:rPr>
        <w:t>类指标包括产出数量、产出质量、产出时效、产出成本共四方面的内容，由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40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w:t>
      </w:r>
      <w:r>
        <w:rPr>
          <w:rFonts w:hint="eastAsia" w:ascii="仿宋_GB2312" w:hAnsi="仿宋_GB2312" w:cs="仿宋_GB2312"/>
          <w:sz w:val="32"/>
          <w:szCs w:val="32"/>
        </w:rPr>
        <w:t>标得分如下</w:t>
      </w:r>
      <w:r>
        <w:rPr>
          <w:rFonts w:ascii="仿宋_GB2312" w:hAnsi="仿宋_GB2312" w:cs="仿宋_GB2312"/>
          <w:sz w:val="32"/>
          <w:szCs w:val="32"/>
        </w:rPr>
        <w:t>：</w:t>
      </w:r>
    </w:p>
    <w:p>
      <w:pPr>
        <w:spacing w:line="600" w:lineRule="exact"/>
        <w:ind w:firstLineChars="0"/>
        <w:rPr>
          <w:rFonts w:ascii="仿宋_GB2312" w:hAnsi="仿宋_GB2312" w:cs="仿宋_GB2312"/>
          <w:b/>
          <w:bCs/>
          <w:sz w:val="32"/>
          <w:szCs w:val="32"/>
        </w:rPr>
      </w:pPr>
      <w:r>
        <w:rPr>
          <w:rFonts w:hint="eastAsia" w:ascii="仿宋_GB2312" w:hAnsi="仿宋_GB2312" w:cs="仿宋_GB2312"/>
          <w:b/>
          <w:bCs/>
          <w:sz w:val="32"/>
          <w:szCs w:val="32"/>
        </w:rPr>
        <w:t>1.产出数量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“消费券面值设定等次”指标，预期指标值为“</w:t>
      </w:r>
      <w:r>
        <w:rPr>
          <w:rFonts w:hint="eastAsia" w:ascii="宋体" w:hAnsi="宋体" w:eastAsia="宋体" w:cs="仿宋_GB2312"/>
          <w:color w:val="auto"/>
          <w:sz w:val="32"/>
          <w:szCs w:val="32"/>
        </w:rPr>
        <w:t>≥4</w:t>
      </w:r>
      <w:r>
        <w:rPr>
          <w:rFonts w:hint="eastAsia" w:ascii="宋体" w:hAnsi="宋体" w:eastAsia="宋体" w:cs="仿宋_GB2312"/>
          <w:color w:val="auto"/>
          <w:sz w:val="32"/>
          <w:szCs w:val="32"/>
          <w:lang w:val="en-US" w:eastAsia="zh-CN"/>
        </w:rPr>
        <w:t>种</w:t>
      </w:r>
      <w:r>
        <w:rPr>
          <w:rFonts w:hint="eastAsia" w:ascii="仿宋_GB2312" w:hAnsi="仿宋_GB2312" w:cs="仿宋_GB2312"/>
          <w:color w:val="auto"/>
          <w:sz w:val="32"/>
          <w:szCs w:val="32"/>
        </w:rPr>
        <w:t>”，根据发放情况可知，实际完成消费券面值设定等次4</w:t>
      </w:r>
      <w:r>
        <w:rPr>
          <w:rFonts w:hint="eastAsia" w:ascii="仿宋_GB2312" w:hAnsi="仿宋_GB2312" w:cs="仿宋_GB2312"/>
          <w:color w:val="auto"/>
          <w:sz w:val="32"/>
          <w:szCs w:val="32"/>
          <w:lang w:val="en-US" w:eastAsia="zh-CN"/>
        </w:rPr>
        <w:t>种</w:t>
      </w:r>
      <w:r>
        <w:rPr>
          <w:rFonts w:hint="eastAsia" w:ascii="仿宋_GB2312" w:hAnsi="仿宋_GB2312" w:cs="仿宋_GB2312"/>
          <w:color w:val="auto"/>
          <w:sz w:val="32"/>
          <w:szCs w:val="32"/>
        </w:rPr>
        <w:t>，与预期目标一致，根据评分标准，该指标5分，得5分。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rPr>
        <w:t>“电子消费券发放数量”指标，预期指标值为“≥37700张”，根据政府消费券消费情况明细表</w:t>
      </w:r>
      <w:r>
        <w:rPr>
          <w:rFonts w:hint="eastAsia" w:ascii="仿宋_GB2312" w:hAnsi="仿宋_GB2312" w:cs="仿宋_GB2312"/>
          <w:color w:val="auto"/>
          <w:sz w:val="32"/>
          <w:szCs w:val="32"/>
          <w:highlight w:val="none"/>
        </w:rPr>
        <w:t>，实际完成电子消费券发放数量为</w:t>
      </w:r>
      <w:r>
        <w:rPr>
          <w:rFonts w:hint="eastAsia"/>
          <w:highlight w:val="none"/>
          <w:lang w:val="en-US" w:eastAsia="zh-CN"/>
        </w:rPr>
        <w:t>65900</w:t>
      </w:r>
      <w:r>
        <w:rPr>
          <w:rFonts w:hint="eastAsia" w:ascii="仿宋_GB2312" w:hAnsi="仿宋_GB2312" w:cs="仿宋_GB2312"/>
          <w:color w:val="auto"/>
          <w:sz w:val="32"/>
          <w:szCs w:val="32"/>
          <w:highlight w:val="none"/>
          <w:lang w:val="en-US" w:eastAsia="zh-CN"/>
        </w:rPr>
        <w:t>张</w:t>
      </w:r>
      <w:r>
        <w:rPr>
          <w:rFonts w:hint="eastAsia" w:ascii="仿宋_GB2312" w:hAnsi="仿宋_GB2312" w:cs="仿宋_GB2312"/>
          <w:color w:val="auto"/>
          <w:sz w:val="32"/>
          <w:szCs w:val="32"/>
          <w:highlight w:val="none"/>
        </w:rPr>
        <w:t>，指标完成率为</w:t>
      </w:r>
      <w:r>
        <w:rPr>
          <w:rFonts w:hint="eastAsia" w:ascii="仿宋_GB2312" w:hAnsi="仿宋_GB2312" w:cs="仿宋_GB2312"/>
          <w:color w:val="auto"/>
          <w:sz w:val="32"/>
          <w:szCs w:val="32"/>
          <w:highlight w:val="none"/>
          <w:lang w:val="en-US" w:eastAsia="zh-CN"/>
        </w:rPr>
        <w:t>174.8</w:t>
      </w:r>
      <w:r>
        <w:rPr>
          <w:rFonts w:hint="eastAsia" w:ascii="仿宋_GB2312" w:hAnsi="仿宋_GB2312" w:cs="仿宋_GB2312"/>
          <w:color w:val="auto"/>
          <w:sz w:val="32"/>
          <w:szCs w:val="32"/>
          <w:highlight w:val="none"/>
        </w:rPr>
        <w:t>%，偏差率为</w:t>
      </w:r>
      <w:r>
        <w:rPr>
          <w:rFonts w:hint="eastAsia" w:ascii="仿宋_GB2312" w:hAnsi="仿宋_GB2312" w:cs="仿宋_GB2312"/>
          <w:color w:val="auto"/>
          <w:sz w:val="32"/>
          <w:szCs w:val="32"/>
          <w:highlight w:val="none"/>
          <w:lang w:val="en-US" w:eastAsia="zh-CN"/>
        </w:rPr>
        <w:t>74.8</w:t>
      </w:r>
      <w:r>
        <w:rPr>
          <w:rFonts w:hint="eastAsia" w:ascii="仿宋_GB2312" w:hAnsi="仿宋_GB2312" w:cs="仿宋_GB2312"/>
          <w:color w:val="auto"/>
          <w:sz w:val="32"/>
          <w:szCs w:val="32"/>
          <w:highlight w:val="none"/>
        </w:rPr>
        <w:t>%，造成偏差原因为：“电子消费券发放数量”</w:t>
      </w:r>
      <w:r>
        <w:rPr>
          <w:rFonts w:hint="eastAsia" w:ascii="仿宋_GB2312" w:hAnsi="仿宋_GB2312" w:cs="仿宋_GB2312"/>
          <w:color w:val="auto"/>
          <w:sz w:val="32"/>
          <w:szCs w:val="32"/>
          <w:highlight w:val="none"/>
          <w:lang w:val="en-US" w:eastAsia="zh-CN"/>
        </w:rPr>
        <w:t>根据第一次发</w:t>
      </w:r>
      <w:r>
        <w:rPr>
          <w:rFonts w:hint="eastAsia" w:ascii="仿宋_GB2312" w:hAnsi="仿宋_GB2312" w:cs="仿宋_GB2312"/>
          <w:color w:val="auto"/>
          <w:sz w:val="32"/>
          <w:szCs w:val="32"/>
          <w:lang w:val="en-US" w:eastAsia="zh-CN"/>
        </w:rPr>
        <w:t>放数量指定的目标，后期又分别发放了三次，绩效系统目标未改动，因此出现差异</w:t>
      </w:r>
      <w:r>
        <w:rPr>
          <w:rFonts w:hint="eastAsia" w:ascii="仿宋_GB2312" w:hAnsi="仿宋_GB2312" w:cs="仿宋_GB2312"/>
          <w:color w:val="auto"/>
          <w:sz w:val="32"/>
          <w:szCs w:val="32"/>
        </w:rPr>
        <w:t>。根据评分标准，该指标扣5分，得5分。</w:t>
      </w:r>
    </w:p>
    <w:p>
      <w:pPr>
        <w:spacing w:line="600" w:lineRule="exact"/>
        <w:ind w:firstLine="640"/>
        <w:rPr>
          <w:rFonts w:ascii="仿宋_GB2312"/>
          <w:b/>
          <w:bCs/>
          <w:sz w:val="32"/>
        </w:rPr>
      </w:pPr>
      <w:r>
        <w:rPr>
          <w:rFonts w:hint="eastAsia" w:ascii="仿宋_GB2312"/>
          <w:b/>
          <w:bCs/>
          <w:sz w:val="32"/>
        </w:rPr>
        <w:t>2.产出质量</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“资金发放资金准确率”指标，预期指标值为“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100%”，根据政府消费券消费情况</w:t>
      </w:r>
      <w:r>
        <w:rPr>
          <w:rFonts w:hint="eastAsia" w:ascii="仿宋_GB2312" w:hAnsi="仿宋_GB2312" w:cs="仿宋_GB2312"/>
          <w:color w:val="auto"/>
          <w:sz w:val="32"/>
          <w:szCs w:val="32"/>
          <w:lang w:val="en-US" w:eastAsia="zh-CN"/>
        </w:rPr>
        <w:t>统计表（消费花名册）</w:t>
      </w:r>
      <w:r>
        <w:rPr>
          <w:rFonts w:hint="eastAsia" w:ascii="仿宋_GB2312" w:hAnsi="仿宋_GB2312" w:cs="仿宋_GB2312"/>
          <w:color w:val="auto"/>
          <w:sz w:val="32"/>
          <w:szCs w:val="32"/>
        </w:rPr>
        <w:t>，商超、餐饮、住宿、家电等行业领域都得到了有效利用</w:t>
      </w:r>
      <w:r>
        <w:rPr>
          <w:rFonts w:ascii="仿宋_GB2312" w:hAnsi="仿宋_GB2312" w:cs="仿宋_GB2312"/>
          <w:color w:val="auto"/>
          <w:sz w:val="32"/>
          <w:szCs w:val="32"/>
        </w:rPr>
        <w:t>，</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rPr>
        <w:t>5</w:t>
      </w:r>
      <w:r>
        <w:rPr>
          <w:rFonts w:hint="eastAsia" w:ascii="仿宋_GB2312" w:hAnsi="仿宋_GB2312" w:cs="仿宋_GB2312"/>
          <w:color w:val="auto"/>
          <w:sz w:val="32"/>
          <w:szCs w:val="32"/>
        </w:rPr>
        <w:t>分，得</w:t>
      </w:r>
      <w:r>
        <w:rPr>
          <w:rFonts w:hint="eastAsia" w:ascii="仿宋_GB2312"/>
          <w:color w:val="auto"/>
          <w:sz w:val="32"/>
          <w:szCs w:val="32"/>
        </w:rPr>
        <w:t>5</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rPr>
        <w:t>“电子消费券使用率”指标，预期指标值为“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80%”，根据政府消费券使用情况，电子消费券使用率达80%，与预期目标一致，根据评分标准，该指标5分，得5分。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3.产出时效</w:t>
      </w:r>
    </w:p>
    <w:p>
      <w:pPr>
        <w:pStyle w:val="6"/>
        <w:spacing w:before="0" w:after="0" w:line="600" w:lineRule="exact"/>
        <w:ind w:firstLine="640"/>
        <w:jc w:val="both"/>
        <w:rPr>
          <w:rFonts w:ascii="仿宋_GB2312" w:cs="仿宋_GB2312"/>
          <w:b w:val="0"/>
          <w:bCs/>
          <w:color w:val="FF0000"/>
          <w:sz w:val="32"/>
          <w:szCs w:val="32"/>
        </w:rPr>
      </w:pPr>
      <w:r>
        <w:rPr>
          <w:rFonts w:hint="eastAsia" w:ascii="仿宋_GB2312" w:cs="仿宋_GB2312"/>
          <w:b w:val="0"/>
          <w:color w:val="auto"/>
          <w:sz w:val="32"/>
          <w:szCs w:val="32"/>
        </w:rPr>
        <w:t>“活动完成时间”</w:t>
      </w:r>
      <w:r>
        <w:rPr>
          <w:rFonts w:hint="eastAsia" w:ascii="仿宋_GB2312" w:hAnsi="仿宋_GB2312" w:cs="仿宋_GB2312"/>
          <w:b w:val="0"/>
          <w:color w:val="auto"/>
          <w:sz w:val="32"/>
          <w:szCs w:val="32"/>
        </w:rPr>
        <w:t>指标，预期指标值为</w:t>
      </w:r>
      <w:r>
        <w:rPr>
          <w:rFonts w:hint="eastAsia" w:ascii="仿宋_GB2312" w:cs="仿宋_GB2312"/>
          <w:b w:val="0"/>
          <w:color w:val="auto"/>
          <w:sz w:val="32"/>
          <w:szCs w:val="32"/>
        </w:rPr>
        <w:t>“2023年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w:t>
      </w:r>
      <w:r>
        <w:rPr>
          <w:rFonts w:hint="eastAsia" w:ascii="仿宋_GB2312" w:cs="仿宋_GB2312"/>
          <w:b w:val="0"/>
          <w:color w:val="auto"/>
          <w:sz w:val="32"/>
          <w:szCs w:val="32"/>
          <w:lang w:val="en-US" w:eastAsia="zh-CN"/>
        </w:rPr>
        <w:t>25</w:t>
      </w:r>
      <w:r>
        <w:rPr>
          <w:rFonts w:hint="eastAsia" w:ascii="仿宋_GB2312" w:cs="仿宋_GB2312"/>
          <w:b w:val="0"/>
          <w:color w:val="auto"/>
          <w:sz w:val="32"/>
          <w:szCs w:val="32"/>
        </w:rPr>
        <w:t>日”</w:t>
      </w:r>
      <w:r>
        <w:rPr>
          <w:rFonts w:ascii="仿宋_GB2312" w:cs="仿宋_GB2312"/>
          <w:b w:val="0"/>
          <w:color w:val="auto"/>
          <w:sz w:val="32"/>
          <w:szCs w:val="32"/>
        </w:rPr>
        <w:t>；</w:t>
      </w:r>
      <w:r>
        <w:rPr>
          <w:rFonts w:hint="eastAsia" w:ascii="仿宋_GB2312" w:cs="仿宋_GB2312"/>
          <w:b w:val="0"/>
          <w:color w:val="auto"/>
          <w:sz w:val="32"/>
          <w:szCs w:val="32"/>
        </w:rPr>
        <w:t>根据资金支付凭证显示</w:t>
      </w:r>
      <w:r>
        <w:rPr>
          <w:rFonts w:ascii="仿宋_GB2312" w:cs="仿宋_GB2312"/>
          <w:b w:val="0"/>
          <w:color w:val="auto"/>
          <w:sz w:val="32"/>
          <w:szCs w:val="32"/>
        </w:rPr>
        <w:t>，</w:t>
      </w:r>
      <w:r>
        <w:rPr>
          <w:rFonts w:hint="eastAsia" w:ascii="仿宋_GB2312" w:cs="仿宋_GB2312"/>
          <w:b w:val="0"/>
          <w:color w:val="auto"/>
          <w:sz w:val="32"/>
          <w:szCs w:val="32"/>
        </w:rPr>
        <w:t>该项目于2</w:t>
      </w:r>
      <w:r>
        <w:rPr>
          <w:rFonts w:ascii="仿宋_GB2312" w:cs="仿宋_GB2312"/>
          <w:b w:val="0"/>
          <w:color w:val="auto"/>
          <w:sz w:val="32"/>
          <w:szCs w:val="32"/>
        </w:rPr>
        <w:t>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年12月</w:t>
      </w:r>
      <w:r>
        <w:rPr>
          <w:rFonts w:hint="eastAsia" w:ascii="仿宋_GB2312" w:cs="仿宋_GB2312"/>
          <w:b w:val="0"/>
          <w:color w:val="auto"/>
          <w:sz w:val="32"/>
          <w:szCs w:val="32"/>
          <w:lang w:val="en-US" w:eastAsia="zh-CN"/>
        </w:rPr>
        <w:t>25</w:t>
      </w:r>
      <w:r>
        <w:rPr>
          <w:rFonts w:hint="eastAsia" w:ascii="仿宋_GB2312" w:cs="仿宋_GB2312"/>
          <w:b w:val="0"/>
          <w:color w:val="auto"/>
          <w:sz w:val="32"/>
          <w:szCs w:val="32"/>
        </w:rPr>
        <w:t>日发放</w:t>
      </w:r>
      <w:r>
        <w:rPr>
          <w:rFonts w:hint="eastAsia" w:ascii="仿宋_GB2312" w:cs="仿宋_GB2312"/>
          <w:b w:val="0"/>
          <w:color w:val="auto"/>
          <w:sz w:val="32"/>
          <w:szCs w:val="32"/>
          <w:lang w:val="en-US" w:eastAsia="zh-CN"/>
        </w:rPr>
        <w:t>完毕，</w:t>
      </w:r>
      <w:r>
        <w:rPr>
          <w:rFonts w:hint="eastAsia" w:ascii="仿宋_GB2312" w:cs="仿宋_GB2312"/>
          <w:b w:val="0"/>
          <w:color w:val="auto"/>
          <w:sz w:val="32"/>
          <w:szCs w:val="32"/>
        </w:rPr>
        <w:t>按协议规定，资金已于</w:t>
      </w:r>
      <w:r>
        <w:rPr>
          <w:rFonts w:ascii="仿宋_GB2312" w:cs="仿宋_GB2312"/>
          <w:b w:val="0"/>
          <w:color w:val="auto"/>
          <w:sz w:val="32"/>
          <w:szCs w:val="32"/>
        </w:rPr>
        <w:t>202</w:t>
      </w:r>
      <w:r>
        <w:rPr>
          <w:rFonts w:hint="eastAsia" w:ascii="仿宋_GB2312" w:cs="仿宋_GB2312"/>
          <w:b w:val="0"/>
          <w:color w:val="auto"/>
          <w:sz w:val="32"/>
          <w:szCs w:val="32"/>
        </w:rPr>
        <w:t>3年12月2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日之前全部支付完毕</w:t>
      </w:r>
      <w:r>
        <w:rPr>
          <w:rFonts w:ascii="仿宋_GB2312" w:cs="仿宋_GB2312"/>
          <w:b w:val="0"/>
          <w:color w:val="auto"/>
          <w:sz w:val="32"/>
          <w:szCs w:val="32"/>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rPr>
        <w:t>5</w:t>
      </w:r>
      <w:r>
        <w:rPr>
          <w:rFonts w:hint="eastAsia" w:ascii="仿宋_GB2312" w:cs="仿宋_GB2312"/>
          <w:b w:val="0"/>
          <w:bCs/>
          <w:color w:val="auto"/>
          <w:sz w:val="32"/>
          <w:szCs w:val="32"/>
        </w:rPr>
        <w:t>分，得</w:t>
      </w:r>
      <w:r>
        <w:rPr>
          <w:rFonts w:hint="eastAsia" w:ascii="仿宋_GB2312"/>
          <w:b w:val="0"/>
          <w:bCs/>
          <w:color w:val="auto"/>
          <w:sz w:val="32"/>
          <w:szCs w:val="32"/>
        </w:rPr>
        <w:t>5</w:t>
      </w:r>
      <w:r>
        <w:rPr>
          <w:rFonts w:hint="eastAsia" w:ascii="仿宋_GB2312" w:cs="仿宋_GB2312"/>
          <w:b w:val="0"/>
          <w:bCs/>
          <w:color w:val="auto"/>
          <w:sz w:val="32"/>
          <w:szCs w:val="32"/>
        </w:rPr>
        <w:t>分。</w:t>
      </w:r>
    </w:p>
    <w:p>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bCs/>
          <w:color w:val="auto"/>
          <w:sz w:val="32"/>
          <w:szCs w:val="32"/>
        </w:rPr>
        <w:t>“发放资金及时率（%）”</w:t>
      </w:r>
      <w:r>
        <w:rPr>
          <w:rFonts w:hint="eastAsia" w:ascii="仿宋_GB2312" w:hAnsi="仿宋_GB2312" w:cs="仿宋_GB2312"/>
          <w:b w:val="0"/>
          <w:bCs/>
          <w:color w:val="auto"/>
          <w:sz w:val="32"/>
          <w:szCs w:val="32"/>
        </w:rPr>
        <w:t>指标，预期指标值为</w:t>
      </w:r>
      <w:r>
        <w:rPr>
          <w:rFonts w:hint="eastAsia" w:ascii="仿宋_GB2312" w:cs="仿宋_GB2312"/>
          <w:b w:val="0"/>
          <w:bCs/>
          <w:color w:val="auto"/>
          <w:sz w:val="32"/>
          <w:szCs w:val="32"/>
        </w:rPr>
        <w:t>“</w:t>
      </w:r>
      <w:r>
        <w:rPr>
          <w:rFonts w:ascii="仿宋_GB2312" w:cs="仿宋_GB2312"/>
          <w:b w:val="0"/>
          <w:bCs/>
          <w:color w:val="auto"/>
          <w:sz w:val="32"/>
          <w:szCs w:val="32"/>
        </w:rPr>
        <w:t>100%</w:t>
      </w:r>
      <w:r>
        <w:rPr>
          <w:rFonts w:hint="eastAsia" w:ascii="仿宋_GB2312" w:cs="仿宋_GB2312"/>
          <w:b w:val="0"/>
          <w:bCs/>
          <w:color w:val="auto"/>
          <w:sz w:val="32"/>
          <w:szCs w:val="32"/>
        </w:rPr>
        <w:t>”</w:t>
      </w:r>
      <w:r>
        <w:rPr>
          <w:rFonts w:ascii="仿宋_GB2312" w:cs="仿宋_GB2312"/>
          <w:b w:val="0"/>
          <w:color w:val="auto"/>
          <w:sz w:val="32"/>
          <w:szCs w:val="32"/>
        </w:rPr>
        <w:t>；</w:t>
      </w:r>
      <w:r>
        <w:rPr>
          <w:rFonts w:hint="eastAsia" w:ascii="仿宋_GB2312" w:cs="仿宋_GB2312"/>
          <w:b w:val="0"/>
          <w:color w:val="auto"/>
          <w:sz w:val="32"/>
          <w:szCs w:val="32"/>
        </w:rPr>
        <w:t>根据支付凭证</w:t>
      </w:r>
      <w:r>
        <w:rPr>
          <w:rFonts w:ascii="仿宋_GB2312" w:cs="仿宋_GB2312"/>
          <w:b w:val="0"/>
          <w:color w:val="auto"/>
          <w:sz w:val="32"/>
          <w:szCs w:val="32"/>
        </w:rPr>
        <w:t>，</w:t>
      </w:r>
      <w:r>
        <w:rPr>
          <w:rFonts w:hint="eastAsia" w:ascii="仿宋_GB2312" w:cs="仿宋_GB2312"/>
          <w:b w:val="0"/>
          <w:color w:val="auto"/>
          <w:sz w:val="32"/>
          <w:szCs w:val="32"/>
        </w:rPr>
        <w:t>该项目发放交资金及时率</w:t>
      </w:r>
      <w:r>
        <w:rPr>
          <w:rFonts w:ascii="仿宋_GB2312" w:cs="仿宋_GB2312"/>
          <w:b w:val="0"/>
          <w:color w:val="auto"/>
          <w:sz w:val="32"/>
          <w:szCs w:val="32"/>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rPr>
        <w:t>5</w:t>
      </w:r>
      <w:r>
        <w:rPr>
          <w:rFonts w:hint="eastAsia" w:ascii="仿宋_GB2312" w:cs="仿宋_GB2312"/>
          <w:b w:val="0"/>
          <w:bCs/>
          <w:color w:val="auto"/>
          <w:sz w:val="32"/>
          <w:szCs w:val="32"/>
        </w:rPr>
        <w:t>分，得</w:t>
      </w:r>
      <w:r>
        <w:rPr>
          <w:rFonts w:hint="eastAsia" w:ascii="仿宋_GB2312"/>
          <w:b w:val="0"/>
          <w:bCs/>
          <w:color w:val="auto"/>
          <w:sz w:val="32"/>
          <w:szCs w:val="32"/>
        </w:rPr>
        <w:t>5</w:t>
      </w:r>
      <w:r>
        <w:rPr>
          <w:rFonts w:hint="eastAsia" w:ascii="仿宋_GB2312" w:cs="仿宋_GB2312"/>
          <w:b w:val="0"/>
          <w:color w:val="auto"/>
          <w:sz w:val="32"/>
          <w:szCs w:val="32"/>
        </w:rPr>
        <w:t>分。</w:t>
      </w:r>
    </w:p>
    <w:p>
      <w:pPr>
        <w:pStyle w:val="6"/>
        <w:spacing w:before="0" w:after="0" w:line="600" w:lineRule="exact"/>
        <w:ind w:left="643" w:firstLine="0" w:firstLineChars="0"/>
        <w:jc w:val="both"/>
        <w:rPr>
          <w:rFonts w:ascii="仿宋_GB2312" w:cs="仿宋_GB2312"/>
          <w:bCs/>
          <w:sz w:val="32"/>
          <w:szCs w:val="32"/>
        </w:rPr>
      </w:pPr>
      <w:r>
        <w:rPr>
          <w:rFonts w:hint="eastAsia" w:ascii="仿宋_GB2312" w:cs="仿宋_GB2312"/>
          <w:bCs/>
          <w:sz w:val="32"/>
          <w:szCs w:val="32"/>
        </w:rPr>
        <w:t>4.产出成本</w:t>
      </w:r>
    </w:p>
    <w:p>
      <w:pPr>
        <w:spacing w:line="600" w:lineRule="exact"/>
        <w:ind w:firstLine="640"/>
        <w:rPr>
          <w:rFonts w:ascii="仿宋_GB2312" w:cs="仿宋_GB2312"/>
          <w:color w:val="FF0000"/>
          <w:sz w:val="32"/>
          <w:szCs w:val="32"/>
        </w:rPr>
      </w:pPr>
      <w:r>
        <w:rPr>
          <w:rFonts w:hint="eastAsia" w:ascii="仿宋_GB2312" w:cs="仿宋_GB2312"/>
          <w:color w:val="auto"/>
          <w:sz w:val="32"/>
          <w:szCs w:val="32"/>
        </w:rPr>
        <w:t>经济成本“消费券活动资金”</w:t>
      </w:r>
      <w:r>
        <w:rPr>
          <w:rFonts w:hint="eastAsia" w:ascii="仿宋_GB2312" w:hAnsi="仿宋_GB2312" w:cs="仿宋_GB2312"/>
          <w:color w:val="auto"/>
          <w:sz w:val="32"/>
          <w:szCs w:val="32"/>
        </w:rPr>
        <w:t>指标，预期指标值为</w:t>
      </w:r>
      <w:r>
        <w:rPr>
          <w:rFonts w:hint="eastAsia" w:ascii="仿宋_GB2312" w:cs="仿宋_GB2312"/>
          <w:color w:val="auto"/>
          <w:sz w:val="32"/>
          <w:szCs w:val="32"/>
        </w:rPr>
        <w:t>“</w:t>
      </w:r>
      <w:r>
        <w:rPr>
          <w:rFonts w:hint="eastAsia" w:ascii="宋体" w:hAnsi="宋体" w:eastAsia="宋体" w:cs="Arial"/>
          <w:color w:val="auto"/>
          <w:sz w:val="32"/>
          <w:szCs w:val="32"/>
        </w:rPr>
        <w:t>≤</w:t>
      </w:r>
      <w:r>
        <w:rPr>
          <w:rFonts w:hint="eastAsia" w:ascii="仿宋_GB2312" w:cs="仿宋_GB2312"/>
          <w:color w:val="auto"/>
          <w:sz w:val="32"/>
          <w:szCs w:val="32"/>
        </w:rPr>
        <w:t>414.52万元”，根据资金支付凭证显示</w:t>
      </w:r>
      <w:r>
        <w:rPr>
          <w:rFonts w:ascii="仿宋_GB2312" w:cs="仿宋_GB2312"/>
          <w:color w:val="auto"/>
          <w:sz w:val="32"/>
          <w:szCs w:val="32"/>
        </w:rPr>
        <w:t>，</w:t>
      </w:r>
      <w:r>
        <w:rPr>
          <w:rFonts w:hint="eastAsia" w:ascii="仿宋_GB2312" w:cs="仿宋_GB2312"/>
          <w:color w:val="auto"/>
          <w:sz w:val="32"/>
          <w:szCs w:val="32"/>
        </w:rPr>
        <w:t>本项目2</w:t>
      </w:r>
      <w:r>
        <w:rPr>
          <w:rFonts w:ascii="仿宋_GB2312" w:cs="仿宋_GB2312"/>
          <w:color w:val="auto"/>
          <w:sz w:val="32"/>
          <w:szCs w:val="32"/>
        </w:rPr>
        <w:t>023</w:t>
      </w:r>
      <w:r>
        <w:rPr>
          <w:rFonts w:hint="eastAsia" w:ascii="仿宋_GB2312" w:cs="仿宋_GB2312"/>
          <w:color w:val="auto"/>
          <w:sz w:val="32"/>
          <w:szCs w:val="32"/>
        </w:rPr>
        <w:t>年共计支付消费券资金414.52万元</w:t>
      </w:r>
      <w:r>
        <w:rPr>
          <w:rFonts w:ascii="仿宋_GB2312" w:cs="仿宋_GB2312"/>
          <w:color w:val="auto"/>
          <w:sz w:val="32"/>
          <w:szCs w:val="32"/>
        </w:rPr>
        <w:t>，</w:t>
      </w:r>
      <w:r>
        <w:rPr>
          <w:rFonts w:hint="eastAsia" w:ascii="仿宋_GB2312" w:cs="仿宋_GB2312"/>
          <w:color w:val="auto"/>
          <w:sz w:val="32"/>
          <w:szCs w:val="32"/>
        </w:rPr>
        <w:t>经费支出能够控制在年度计划成本范围内，根据评分标准，该指标10分，得10分。</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（四）项目效益情况</w:t>
      </w:r>
    </w:p>
    <w:p>
      <w:pPr>
        <w:overflowPunct w:val="0"/>
        <w:spacing w:line="600" w:lineRule="exact"/>
        <w:ind w:firstLine="640"/>
        <w:contextualSpacing/>
        <w:rPr>
          <w:rFonts w:ascii="仿宋_GB2312" w:hAnsi="仿宋_GB2312" w:cs="仿宋_GB2312"/>
          <w:color w:val="auto"/>
          <w:sz w:val="32"/>
          <w:szCs w:val="32"/>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rPr>
        <w:t>20</w:t>
      </w:r>
      <w:r>
        <w:rPr>
          <w:rFonts w:hint="eastAsia" w:ascii="仿宋_GB2312" w:hAnsi="仿宋_GB2312" w:cs="仿宋_GB2312"/>
          <w:color w:val="auto"/>
          <w:sz w:val="32"/>
          <w:szCs w:val="32"/>
        </w:rPr>
        <w:t>分，得分率为</w:t>
      </w:r>
      <w:r>
        <w:rPr>
          <w:rFonts w:hint="eastAsia" w:ascii="仿宋_GB2312"/>
          <w:color w:val="auto"/>
          <w:sz w:val="32"/>
          <w:szCs w:val="32"/>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pPr>
      <w:r>
        <w:rPr>
          <w:rFonts w:hint="eastAsia" w:ascii="仿宋_GB2312"/>
          <w:color w:val="auto"/>
          <w:sz w:val="32"/>
          <w:szCs w:val="32"/>
        </w:rPr>
        <w:t>“进一步激发市场活力，促进消费回补”</w:t>
      </w:r>
      <w:r>
        <w:rPr>
          <w:rFonts w:hint="eastAsia" w:ascii="仿宋_GB2312" w:hAnsi="仿宋_GB2312" w:cs="仿宋_GB2312"/>
          <w:color w:val="auto"/>
          <w:sz w:val="32"/>
          <w:szCs w:val="32"/>
        </w:rPr>
        <w:t>指标，预期指标值为</w:t>
      </w:r>
      <w:r>
        <w:rPr>
          <w:rFonts w:hint="eastAsia" w:ascii="仿宋_GB2312"/>
          <w:color w:val="auto"/>
          <w:sz w:val="32"/>
          <w:szCs w:val="32"/>
        </w:rPr>
        <w:t>“有所促进”，</w:t>
      </w:r>
      <w:r>
        <w:rPr>
          <w:rFonts w:hint="eastAsia"/>
          <w:color w:val="auto"/>
          <w:sz w:val="32"/>
          <w:szCs w:val="32"/>
        </w:rPr>
        <w:t>根据消费情况</w:t>
      </w:r>
      <w:r>
        <w:rPr>
          <w:rFonts w:hint="eastAsia"/>
          <w:color w:val="auto"/>
          <w:sz w:val="32"/>
          <w:szCs w:val="32"/>
          <w:lang w:val="en-US" w:eastAsia="zh-CN"/>
        </w:rPr>
        <w:t>统计表</w:t>
      </w:r>
      <w:r>
        <w:rPr>
          <w:rFonts w:hint="eastAsia" w:ascii="仿宋_GB2312"/>
          <w:color w:val="auto"/>
          <w:sz w:val="32"/>
          <w:szCs w:val="32"/>
          <w:lang w:eastAsia="zh-CN"/>
        </w:rPr>
        <w:t>（</w:t>
      </w:r>
      <w:r>
        <w:rPr>
          <w:rFonts w:hint="eastAsia" w:ascii="仿宋_GB2312"/>
          <w:color w:val="auto"/>
          <w:sz w:val="32"/>
          <w:szCs w:val="32"/>
          <w:lang w:val="en-US" w:eastAsia="zh-CN"/>
        </w:rPr>
        <w:t>消费人员花名册</w:t>
      </w:r>
      <w:r>
        <w:rPr>
          <w:rFonts w:hint="eastAsia" w:ascii="仿宋_GB2312"/>
          <w:color w:val="auto"/>
          <w:sz w:val="32"/>
          <w:szCs w:val="32"/>
          <w:lang w:eastAsia="zh-CN"/>
        </w:rPr>
        <w:t>）</w:t>
      </w:r>
      <w:r>
        <w:rPr>
          <w:rFonts w:hint="eastAsia"/>
          <w:color w:val="auto"/>
          <w:sz w:val="32"/>
          <w:szCs w:val="32"/>
        </w:rPr>
        <w:t>，实际完成值为</w:t>
      </w:r>
      <w:r>
        <w:rPr>
          <w:rFonts w:hint="eastAsia" w:ascii="仿宋_GB2312"/>
          <w:color w:val="auto"/>
          <w:sz w:val="32"/>
          <w:szCs w:val="32"/>
        </w:rPr>
        <w:t>“达成年度指标”，根据评分标准，该指标10分，得10分。</w:t>
      </w:r>
    </w:p>
    <w:p>
      <w:pPr>
        <w:spacing w:line="600" w:lineRule="exact"/>
        <w:ind w:firstLine="640"/>
      </w:pPr>
      <w:r>
        <w:rPr>
          <w:rFonts w:hint="eastAsia" w:ascii="仿宋_GB2312"/>
          <w:color w:val="auto"/>
          <w:sz w:val="32"/>
          <w:szCs w:val="32"/>
        </w:rPr>
        <w:t>“激发消费者购物热情，从而推动全县消费市场全面复苏”</w:t>
      </w:r>
      <w:r>
        <w:rPr>
          <w:rFonts w:hint="eastAsia" w:ascii="仿宋_GB2312" w:hAnsi="仿宋_GB2312" w:cs="仿宋_GB2312"/>
          <w:color w:val="auto"/>
          <w:sz w:val="32"/>
          <w:szCs w:val="32"/>
        </w:rPr>
        <w:t>指标，预期指标值为</w:t>
      </w:r>
      <w:r>
        <w:rPr>
          <w:rFonts w:hint="eastAsia" w:ascii="仿宋_GB2312"/>
          <w:color w:val="auto"/>
          <w:sz w:val="32"/>
          <w:szCs w:val="32"/>
        </w:rPr>
        <w:t>“有所推动”，</w:t>
      </w:r>
      <w:r>
        <w:rPr>
          <w:rFonts w:hint="eastAsia"/>
          <w:color w:val="auto"/>
          <w:sz w:val="32"/>
          <w:szCs w:val="32"/>
        </w:rPr>
        <w:t>根据拉动</w:t>
      </w:r>
      <w:r>
        <w:rPr>
          <w:rFonts w:hint="eastAsia" w:ascii="仿宋_GB2312"/>
          <w:color w:val="auto"/>
          <w:sz w:val="32"/>
          <w:szCs w:val="32"/>
        </w:rPr>
        <w:t>县域消费倍数看</w:t>
      </w:r>
      <w:r>
        <w:rPr>
          <w:rFonts w:hint="eastAsia"/>
          <w:color w:val="auto"/>
          <w:sz w:val="32"/>
          <w:szCs w:val="32"/>
        </w:rPr>
        <w:t>，实际完成值为</w:t>
      </w:r>
      <w:r>
        <w:rPr>
          <w:rFonts w:hint="eastAsia" w:ascii="仿宋_GB2312"/>
          <w:color w:val="auto"/>
          <w:sz w:val="32"/>
          <w:szCs w:val="32"/>
        </w:rPr>
        <w:t>“达成年度指标”，根据评分标准，该指标10分，得10分。</w:t>
      </w:r>
    </w:p>
    <w:p>
      <w:pPr>
        <w:spacing w:line="600" w:lineRule="exact"/>
        <w:ind w:firstLine="640"/>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经济效益指标</w:t>
      </w:r>
    </w:p>
    <w:p>
      <w:pPr>
        <w:spacing w:line="600" w:lineRule="exact"/>
        <w:ind w:firstLine="640"/>
        <w:rPr>
          <w:rFonts w:ascii="仿宋_GB2312"/>
          <w:b/>
          <w:color w:val="FF0000"/>
          <w:sz w:val="32"/>
          <w:szCs w:val="32"/>
        </w:rPr>
      </w:pPr>
      <w:r>
        <w:rPr>
          <w:rFonts w:hint="eastAsia" w:ascii="仿宋_GB2312"/>
          <w:sz w:val="32"/>
          <w:szCs w:val="32"/>
        </w:rPr>
        <w:t>本项目无该项指标。</w:t>
      </w:r>
    </w:p>
    <w:p>
      <w:pPr>
        <w:spacing w:line="600" w:lineRule="exact"/>
        <w:ind w:firstLine="640"/>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生态效益指标</w:t>
      </w:r>
    </w:p>
    <w:p>
      <w:pPr>
        <w:spacing w:line="600" w:lineRule="exact"/>
        <w:ind w:firstLine="640"/>
        <w:rPr>
          <w:rFonts w:ascii="仿宋_GB2312"/>
          <w:b/>
          <w:color w:val="FF0000"/>
          <w:sz w:val="32"/>
          <w:szCs w:val="32"/>
        </w:rPr>
      </w:pPr>
      <w:r>
        <w:rPr>
          <w:rFonts w:hint="eastAsia" w:ascii="仿宋_GB2312"/>
          <w:sz w:val="32"/>
          <w:szCs w:val="32"/>
        </w:rPr>
        <w:t>本项目无该项指标。</w:t>
      </w:r>
    </w:p>
    <w:p>
      <w:pPr>
        <w:pStyle w:val="4"/>
        <w:spacing w:line="600" w:lineRule="exact"/>
        <w:ind w:left="560" w:leftChars="200" w:firstLine="0" w:firstLineChars="0"/>
        <w:rPr>
          <w:rFonts w:ascii="楷体_GB2312" w:eastAsia="楷体_GB2312"/>
          <w:szCs w:val="32"/>
        </w:rPr>
      </w:pPr>
      <w:r>
        <w:rPr>
          <w:rFonts w:hint="eastAsia" w:ascii="楷体_GB2312" w:eastAsia="楷体_GB2312"/>
          <w:szCs w:val="32"/>
        </w:rPr>
        <w:t>（五）满意度指标完成情况分析</w:t>
      </w:r>
    </w:p>
    <w:p>
      <w:pPr>
        <w:pStyle w:val="21"/>
        <w:spacing w:line="600" w:lineRule="exact"/>
        <w:ind w:firstLine="640"/>
        <w:rPr>
          <w:rFonts w:ascii="仿宋_GB2312" w:cs="仿宋_GB2312"/>
          <w:color w:val="FF0000"/>
          <w:kern w:val="2"/>
          <w:sz w:val="32"/>
          <w:szCs w:val="32"/>
        </w:rPr>
      </w:pPr>
      <w:bookmarkStart w:id="16" w:name="_Toc28290"/>
      <w:bookmarkStart w:id="17" w:name="_Toc1921"/>
      <w:r>
        <w:rPr>
          <w:rFonts w:hint="eastAsia" w:ascii="仿宋_GB2312" w:cs="仿宋_GB2312"/>
          <w:color w:val="auto"/>
          <w:kern w:val="2"/>
          <w:sz w:val="32"/>
          <w:szCs w:val="32"/>
        </w:rPr>
        <w:t>“受益对象满意度（%）”</w:t>
      </w:r>
      <w:r>
        <w:rPr>
          <w:rFonts w:hint="eastAsia" w:ascii="仿宋_GB2312" w:hAnsi="仿宋_GB2312" w:cs="仿宋_GB2312"/>
          <w:color w:val="auto"/>
          <w:kern w:val="2"/>
          <w:sz w:val="32"/>
          <w:szCs w:val="32"/>
        </w:rPr>
        <w:t>指标，预期指标值为</w:t>
      </w:r>
      <w:r>
        <w:rPr>
          <w:rFonts w:hint="eastAsia" w:ascii="仿宋_GB2312" w:cs="仿宋_GB2312"/>
          <w:color w:val="auto"/>
          <w:kern w:val="2"/>
          <w:sz w:val="32"/>
          <w:szCs w:val="32"/>
        </w:rPr>
        <w:t>“</w:t>
      </w:r>
      <w:r>
        <w:rPr>
          <w:rFonts w:hint="eastAsia" w:ascii="宋体" w:hAnsi="宋体" w:eastAsia="宋体" w:cs="仿宋_GB2312"/>
          <w:color w:val="auto"/>
          <w:kern w:val="2"/>
          <w:sz w:val="32"/>
          <w:szCs w:val="32"/>
        </w:rPr>
        <w:t>≥</w:t>
      </w:r>
      <w:r>
        <w:rPr>
          <w:rFonts w:ascii="仿宋_GB2312" w:cs="仿宋_GB2312"/>
          <w:color w:val="auto"/>
          <w:kern w:val="2"/>
          <w:sz w:val="32"/>
          <w:szCs w:val="32"/>
        </w:rPr>
        <w:t>95%</w:t>
      </w:r>
      <w:r>
        <w:rPr>
          <w:rFonts w:hint="eastAsia" w:ascii="仿宋_GB2312" w:cs="仿宋_GB2312"/>
          <w:color w:val="auto"/>
          <w:kern w:val="2"/>
          <w:sz w:val="32"/>
          <w:szCs w:val="32"/>
        </w:rPr>
        <w:t>”，因未进行问卷调查，因此受益对象满意度达0</w:t>
      </w:r>
      <w:r>
        <w:rPr>
          <w:rFonts w:ascii="仿宋_GB2312" w:cs="仿宋_GB2312"/>
          <w:color w:val="auto"/>
          <w:kern w:val="2"/>
          <w:sz w:val="32"/>
          <w:szCs w:val="32"/>
        </w:rPr>
        <w:t>%</w:t>
      </w:r>
      <w:r>
        <w:rPr>
          <w:rFonts w:hint="eastAsia" w:ascii="仿宋_GB2312" w:cs="仿宋_GB2312"/>
          <w:color w:val="auto"/>
          <w:kern w:val="2"/>
          <w:sz w:val="32"/>
          <w:szCs w:val="32"/>
        </w:rPr>
        <w:t>，根据评分标准，该指标10分,得0分。</w:t>
      </w:r>
    </w:p>
    <w:p>
      <w:pPr>
        <w:pStyle w:val="3"/>
        <w:spacing w:line="600" w:lineRule="exact"/>
        <w:ind w:firstLine="640"/>
        <w:rPr>
          <w:szCs w:val="32"/>
        </w:rPr>
      </w:pPr>
      <w:r>
        <w:rPr>
          <w:rFonts w:hint="eastAsia"/>
          <w:szCs w:val="32"/>
        </w:rPr>
        <w:t>五、预算执行进度与绩效指标偏差情况</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预算执行进度</w:t>
      </w:r>
    </w:p>
    <w:p>
      <w:pPr>
        <w:pStyle w:val="21"/>
        <w:spacing w:line="600" w:lineRule="exact"/>
        <w:ind w:firstLine="560"/>
        <w:rPr>
          <w:rFonts w:ascii="仿宋_GB2312"/>
          <w:sz w:val="32"/>
          <w:szCs w:val="32"/>
        </w:rPr>
      </w:pPr>
      <w:r>
        <w:rPr>
          <w:rFonts w:hint="eastAsia" w:ascii="仿宋_GB2312"/>
          <w:sz w:val="32"/>
          <w:szCs w:val="32"/>
        </w:rPr>
        <w:t>裕民县促进消费市场发展专项资金（政府发放消费券）项目预算金额414.52万元，实际到位414.52万元，实际支出</w:t>
      </w:r>
      <w:r>
        <w:rPr>
          <w:rFonts w:hint="eastAsia" w:ascii="仿宋_GB2312"/>
          <w:sz w:val="32"/>
          <w:szCs w:val="32"/>
          <w:lang w:val="en-US" w:eastAsia="zh-CN"/>
        </w:rPr>
        <w:t>4</w:t>
      </w:r>
      <w:r>
        <w:rPr>
          <w:rFonts w:hint="eastAsia" w:ascii="仿宋_GB2312"/>
          <w:sz w:val="32"/>
          <w:szCs w:val="32"/>
        </w:rPr>
        <w:t>14.52万元，预算执行率为</w:t>
      </w:r>
      <w:r>
        <w:rPr>
          <w:rFonts w:hint="eastAsia" w:ascii="仿宋_GB2312"/>
          <w:sz w:val="32"/>
          <w:szCs w:val="32"/>
          <w:lang w:val="en-US" w:eastAsia="zh-CN"/>
        </w:rPr>
        <w:t>100</w:t>
      </w:r>
      <w:r>
        <w:rPr>
          <w:rFonts w:hint="eastAsia" w:ascii="仿宋_GB2312"/>
          <w:sz w:val="32"/>
          <w:szCs w:val="32"/>
        </w:rPr>
        <w:t>%，项目绩效指标总体完成</w:t>
      </w:r>
      <w:r>
        <w:rPr>
          <w:rFonts w:hint="eastAsia" w:ascii="仿宋_GB2312"/>
          <w:sz w:val="32"/>
          <w:szCs w:val="32"/>
          <w:highlight w:val="none"/>
        </w:rPr>
        <w:t>率为</w:t>
      </w:r>
      <w:r>
        <w:rPr>
          <w:rFonts w:hint="eastAsia" w:ascii="仿宋_GB2312"/>
          <w:sz w:val="32"/>
          <w:szCs w:val="32"/>
          <w:highlight w:val="none"/>
          <w:lang w:val="en-US" w:eastAsia="zh-CN"/>
        </w:rPr>
        <w:t>100</w:t>
      </w:r>
      <w:r>
        <w:rPr>
          <w:rFonts w:hint="eastAsia" w:ascii="仿宋_GB2312"/>
          <w:sz w:val="32"/>
          <w:szCs w:val="32"/>
          <w:highlight w:val="none"/>
        </w:rPr>
        <w:t>%</w:t>
      </w:r>
      <w:r>
        <w:rPr>
          <w:rFonts w:hint="eastAsia" w:ascii="仿宋_GB2312"/>
          <w:sz w:val="32"/>
          <w:szCs w:val="32"/>
        </w:rPr>
        <w:t>，</w:t>
      </w:r>
      <w:r>
        <w:rPr>
          <w:rFonts w:hint="eastAsia" w:ascii="仿宋_GB2312"/>
          <w:sz w:val="32"/>
          <w:szCs w:val="32"/>
          <w:lang w:val="en-US" w:eastAsia="zh-CN"/>
        </w:rPr>
        <w:t>无</w:t>
      </w:r>
      <w:r>
        <w:rPr>
          <w:rFonts w:hint="eastAsia" w:ascii="仿宋_GB2312"/>
          <w:sz w:val="32"/>
          <w:szCs w:val="32"/>
        </w:rPr>
        <w:t>偏差。</w:t>
      </w:r>
    </w:p>
    <w:p>
      <w:pPr>
        <w:pStyle w:val="4"/>
        <w:numPr>
          <w:ilvl w:val="0"/>
          <w:numId w:val="7"/>
        </w:numPr>
        <w:spacing w:line="600" w:lineRule="exact"/>
        <w:ind w:firstLine="640"/>
        <w:rPr>
          <w:rFonts w:ascii="楷体_GB2312" w:eastAsia="楷体_GB2312"/>
          <w:szCs w:val="32"/>
        </w:rPr>
      </w:pPr>
      <w:r>
        <w:rPr>
          <w:rFonts w:hint="eastAsia" w:ascii="楷体_GB2312" w:eastAsia="楷体_GB2312"/>
          <w:szCs w:val="32"/>
        </w:rPr>
        <w:t>绩效指标偏差情况</w:t>
      </w:r>
    </w:p>
    <w:p>
      <w:pPr>
        <w:spacing w:line="600" w:lineRule="exact"/>
        <w:ind w:firstLine="640"/>
      </w:pPr>
      <w:r>
        <w:rPr>
          <w:rFonts w:hint="eastAsia" w:ascii="仿宋_GB2312" w:hAnsi="仿宋_GB2312" w:cs="仿宋_GB2312"/>
          <w:color w:val="000000" w:themeColor="text1"/>
          <w:sz w:val="32"/>
          <w:szCs w:val="32"/>
        </w:rPr>
        <w:t>2023年本单位负责实施的裕民县促进消费市场发展专项资金（政府发放消费券）项目当中，产出指标的实际完成情况能达到预算指标值，</w:t>
      </w:r>
      <w:r>
        <w:rPr>
          <w:rFonts w:hint="eastAsia" w:ascii="仿宋_GB2312" w:hAnsi="仿宋_GB2312" w:cs="仿宋_GB2312"/>
          <w:color w:val="000000" w:themeColor="text1"/>
          <w:sz w:val="32"/>
          <w:szCs w:val="32"/>
          <w:lang w:val="en-US" w:eastAsia="zh-CN"/>
        </w:rPr>
        <w:t>不</w:t>
      </w:r>
      <w:r>
        <w:rPr>
          <w:rFonts w:hint="eastAsia" w:ascii="仿宋_GB2312" w:hAnsi="仿宋_GB2312" w:cs="仿宋_GB2312"/>
          <w:color w:val="000000" w:themeColor="text1"/>
          <w:sz w:val="32"/>
          <w:szCs w:val="32"/>
        </w:rPr>
        <w:t>存在偏差</w:t>
      </w:r>
      <w:r>
        <w:rPr>
          <w:rFonts w:hint="eastAsia" w:ascii="仿宋_GB2312" w:hAnsi="仿宋_GB2312" w:cs="仿宋_GB2312"/>
          <w:sz w:val="32"/>
          <w:szCs w:val="32"/>
        </w:rPr>
        <w:t>。</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spacing w:line="600" w:lineRule="exact"/>
        <w:ind w:firstLine="640"/>
        <w:rPr>
          <w:rFonts w:hint="eastAsia" w:ascii="仿宋_GB2312" w:hAnsi="仿宋_GB2312" w:cs="仿宋_GB2312"/>
          <w:sz w:val="32"/>
          <w:szCs w:val="32"/>
        </w:rPr>
      </w:pPr>
      <w:bookmarkStart w:id="18" w:name="_Toc68364674"/>
      <w:r>
        <w:rPr>
          <w:rFonts w:hint="eastAsia" w:ascii="仿宋_GB2312" w:hAnsi="仿宋_GB2312" w:cs="仿宋_GB2312"/>
          <w:sz w:val="32"/>
          <w:szCs w:val="32"/>
        </w:rPr>
        <w:t>1.资金支出实行先审批再使用制度。二是按规范凭证审核，按有关财务规章制度审核原始凭证真实、合规、完整，审批手续齐全，严格按照相关程序执行。</w:t>
      </w:r>
    </w:p>
    <w:p>
      <w:pPr>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rPr>
        <w:t>2.按规范凭证审核，按有关财务规章制度审核原始凭证真实、合规、完整，审批手续齐全，严格按照相关程序执行。</w:t>
      </w:r>
    </w:p>
    <w:p>
      <w:pPr>
        <w:spacing w:line="600" w:lineRule="exact"/>
        <w:ind w:firstLine="640"/>
        <w:rPr>
          <w:rFonts w:hint="eastAsia" w:ascii="仿宋_GB2312"/>
          <w:color w:val="FF0000"/>
          <w:sz w:val="32"/>
          <w:szCs w:val="32"/>
        </w:rPr>
      </w:pPr>
      <w:r>
        <w:rPr>
          <w:rFonts w:hint="eastAsia" w:ascii="仿宋_GB2312" w:hAnsi="仿宋_GB2312" w:cs="仿宋_GB2312"/>
          <w:sz w:val="32"/>
          <w:szCs w:val="32"/>
        </w:rPr>
        <w:t>3.合理设置岗位，明确相关职责权限。四是项目工作实施专人负责，是严格遵守“专款专用”原则，按照具体文件要求，确保专项资金项目有限实施。</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8"/>
    </w:p>
    <w:p>
      <w:pPr>
        <w:pStyle w:val="21"/>
        <w:spacing w:line="600" w:lineRule="exact"/>
        <w:ind w:firstLine="640"/>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0"/>
        <w:rPr>
          <w:rFonts w:ascii="仿宋_GB2312" w:hAnsi="仿宋_GB2312" w:cs="仿宋_GB2312"/>
          <w:b/>
          <w:bCs/>
          <w:color w:val="auto"/>
          <w:sz w:val="32"/>
          <w:szCs w:val="32"/>
        </w:rPr>
      </w:pPr>
      <w:r>
        <w:rPr>
          <w:rFonts w:hint="eastAsia" w:ascii="仿宋_GB2312" w:hAnsi="仿宋_GB2312" w:cs="仿宋_GB2312"/>
          <w:b/>
          <w:bCs/>
          <w:color w:val="auto"/>
          <w:sz w:val="32"/>
          <w:szCs w:val="32"/>
        </w:rPr>
        <w:t>2.项目支出绩效评价存在局限，客观性有待加强</w:t>
      </w:r>
    </w:p>
    <w:p>
      <w:pPr>
        <w:pStyle w:val="22"/>
        <w:spacing w:line="600" w:lineRule="exact"/>
        <w:ind w:firstLine="640"/>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七、有关建议</w:t>
      </w:r>
    </w:p>
    <w:p>
      <w:pPr>
        <w:pStyle w:val="21"/>
        <w:spacing w:line="600" w:lineRule="exact"/>
        <w:ind w:firstLine="640"/>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0"/>
        <w:rPr>
          <w:rFonts w:ascii="仿宋_GB2312"/>
          <w:b/>
          <w:bCs/>
          <w:color w:val="auto"/>
          <w:sz w:val="32"/>
          <w:szCs w:val="32"/>
        </w:rPr>
      </w:pPr>
      <w:r>
        <w:rPr>
          <w:rFonts w:hint="eastAsia" w:ascii="仿宋_GB2312"/>
          <w:b/>
          <w:bCs/>
          <w:color w:val="auto"/>
          <w:sz w:val="32"/>
          <w:szCs w:val="32"/>
        </w:rPr>
        <w:t>2.高度重视，加强领导</w:t>
      </w:r>
    </w:p>
    <w:p>
      <w:pPr>
        <w:pStyle w:val="21"/>
        <w:spacing w:line="600" w:lineRule="exact"/>
        <w:ind w:firstLine="640"/>
        <w:rPr>
          <w:rFonts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21"/>
        <w:spacing w:line="600" w:lineRule="exact"/>
        <w:ind w:firstLine="640"/>
        <w:rPr>
          <w:rFonts w:ascii="仿宋_GB2312"/>
          <w:b/>
          <w:bCs/>
          <w:color w:val="auto"/>
          <w:sz w:val="32"/>
          <w:szCs w:val="32"/>
        </w:rPr>
      </w:pPr>
      <w:r>
        <w:rPr>
          <w:rFonts w:hint="eastAsia" w:ascii="仿宋_GB2312"/>
          <w:b/>
          <w:bCs/>
          <w:color w:val="auto"/>
          <w:sz w:val="32"/>
          <w:szCs w:val="32"/>
        </w:rPr>
        <w:t>3.</w:t>
      </w:r>
      <w:r>
        <w:rPr>
          <w:rFonts w:ascii="仿宋_GB2312"/>
          <w:b/>
          <w:bCs/>
          <w:color w:val="auto"/>
          <w:sz w:val="32"/>
          <w:szCs w:val="32"/>
        </w:rPr>
        <w:t>加大宣传力度，强化绩效理念</w:t>
      </w:r>
    </w:p>
    <w:p>
      <w:pPr>
        <w:pStyle w:val="21"/>
        <w:spacing w:line="600" w:lineRule="exact"/>
        <w:ind w:firstLine="640"/>
        <w:rPr>
          <w:rFonts w:ascii="仿宋_GB2312"/>
          <w:color w:val="auto"/>
          <w:sz w:val="32"/>
          <w:szCs w:val="32"/>
        </w:rPr>
      </w:pPr>
      <w:r>
        <w:rPr>
          <w:rFonts w:ascii="仿宋_GB2312"/>
          <w:color w:val="auto"/>
          <w:sz w:val="32"/>
          <w:szCs w:val="32"/>
        </w:rPr>
        <w:t>通过召开会议、县级融媒体举办业务讲座等多种形式，组织预算单位的领导和财务人员学习预算绩效法律法规和相关政策，让绩效理念深入人心，让绩效操作人员吃透政策、知行合一。通过专门的工作报告、情况通报、工作简报等方式方法，积极向县委、县政府、人大、政协党政机关和主要党政领导汇报，最大限度争取重视和支持，提升预算绩效管理的权威性。</w:t>
      </w:r>
    </w:p>
    <w:p>
      <w:pPr>
        <w:pStyle w:val="21"/>
        <w:tabs>
          <w:tab w:val="left" w:pos="312"/>
        </w:tabs>
        <w:spacing w:line="600" w:lineRule="exact"/>
        <w:ind w:left="640" w:firstLine="0" w:firstLineChars="0"/>
        <w:rPr>
          <w:rFonts w:ascii="仿宋_GB2312"/>
          <w:b/>
          <w:bCs/>
          <w:color w:val="auto"/>
          <w:sz w:val="32"/>
          <w:szCs w:val="32"/>
        </w:rPr>
      </w:pPr>
      <w:r>
        <w:rPr>
          <w:rFonts w:hint="eastAsia" w:ascii="仿宋_GB2312"/>
          <w:b/>
          <w:bCs/>
          <w:color w:val="auto"/>
          <w:sz w:val="32"/>
          <w:szCs w:val="32"/>
        </w:rPr>
        <w:t>4.</w:t>
      </w:r>
      <w:r>
        <w:rPr>
          <w:rFonts w:ascii="仿宋_GB2312"/>
          <w:b/>
          <w:bCs/>
          <w:color w:val="auto"/>
          <w:sz w:val="32"/>
          <w:szCs w:val="32"/>
        </w:rPr>
        <w:t>加强业务培训，提升专业能力</w:t>
      </w:r>
    </w:p>
    <w:p>
      <w:pPr>
        <w:pStyle w:val="21"/>
        <w:spacing w:line="600" w:lineRule="exact"/>
        <w:ind w:firstLine="640"/>
        <w:rPr>
          <w:rFonts w:ascii="仿宋_GB2312"/>
          <w:color w:val="auto"/>
          <w:sz w:val="32"/>
          <w:szCs w:val="32"/>
        </w:rPr>
      </w:pPr>
      <w:r>
        <w:rPr>
          <w:rFonts w:ascii="仿宋_GB2312"/>
          <w:color w:val="auto"/>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p>
    <w:p>
      <w:pPr>
        <w:pStyle w:val="3"/>
        <w:spacing w:line="600" w:lineRule="exact"/>
        <w:ind w:firstLine="640"/>
        <w:rPr>
          <w:color w:val="auto"/>
          <w:szCs w:val="32"/>
        </w:rPr>
      </w:pPr>
      <w:r>
        <w:rPr>
          <w:rFonts w:hint="eastAsia"/>
          <w:color w:val="auto"/>
          <w:szCs w:val="32"/>
        </w:rPr>
        <w:t>八、其他需要说明的问题</w:t>
      </w:r>
    </w:p>
    <w:p>
      <w:pPr>
        <w:pStyle w:val="21"/>
        <w:spacing w:line="600" w:lineRule="exact"/>
        <w:ind w:firstLine="624"/>
        <w:rPr>
          <w:rFonts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701" w:right="1361" w:bottom="1587" w:left="136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w:pict>
        <v:shape id="_x0000_s1026" o:spid="_x0000_s1026" o:spt="202" type="#_x0000_t202" style="position:absolute;left:0pt;margin-top:0pt;height:28pt;width:43.55pt;mso-position-horizontal:center;mso-position-horizontal-relative:margin;z-index:251659264;mso-width-relative:page;mso-height-relative:page;" filled="f" stroked="f" coordsize="21600,21600" o:gfxdata="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K1JTP0wAAAAMBAAAP&#10;AAAAAAAAAAEAIAAAADgAAABkcnMvZG93bnJldi54bWxQSwECFAAUAAAACACHTuJAGL3Mps4BAACU&#10;AwAADgAAAAAAAAABACAAAAA4AQAAZHJzL2Uyb0RvYy54bWxQSwUGAAAAAAYABgBZAQAAeAUAAAAA&#10;">
          <v:path/>
          <v:fill on="f" focussize="0,0"/>
          <v:stroke on="f" weight="0.5pt" joinstyle="miter"/>
          <v:imagedata o:title=""/>
          <o:lock v:ext="edit"/>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w:t>
                </w:r>
                <w:r>
                  <w:rPr>
                    <w:rFonts w:hint="eastAsia"/>
                    <w:sz w:val="24"/>
                  </w:rPr>
                  <w:fldChar w:fldCharType="end"/>
                </w:r>
              </w:p>
            </w:txbxContent>
          </v:textbox>
        </v:shape>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424D4EA5"/>
    <w:multiLevelType w:val="multilevel"/>
    <w:tmpl w:val="424D4EA5"/>
    <w:lvl w:ilvl="0" w:tentative="0">
      <w:start w:val="1"/>
      <w:numFmt w:val="decimalEnclosedCircle"/>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4"/>
  </w:num>
  <w:num w:numId="2">
    <w:abstractNumId w:val="0"/>
  </w:num>
  <w:num w:numId="3">
    <w:abstractNumId w:val="1"/>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204"/>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JmOWI2MjU5NzlkMzk2ZWMxZjFiY2YwYjlhODhhMmMifQ=="/>
  </w:docVars>
  <w:rsids>
    <w:rsidRoot w:val="68291A1A"/>
    <w:rsid w:val="00004DD3"/>
    <w:rsid w:val="000235A3"/>
    <w:rsid w:val="000400ED"/>
    <w:rsid w:val="00041DF6"/>
    <w:rsid w:val="000545A8"/>
    <w:rsid w:val="000A7B33"/>
    <w:rsid w:val="000D266E"/>
    <w:rsid w:val="000E5DD1"/>
    <w:rsid w:val="0012670A"/>
    <w:rsid w:val="00140D9A"/>
    <w:rsid w:val="001472A5"/>
    <w:rsid w:val="0015505A"/>
    <w:rsid w:val="001623FF"/>
    <w:rsid w:val="00166E74"/>
    <w:rsid w:val="00175A91"/>
    <w:rsid w:val="00192D10"/>
    <w:rsid w:val="001A4AC3"/>
    <w:rsid w:val="001B5602"/>
    <w:rsid w:val="001E2EBD"/>
    <w:rsid w:val="00210D91"/>
    <w:rsid w:val="0021146D"/>
    <w:rsid w:val="00223032"/>
    <w:rsid w:val="0025040E"/>
    <w:rsid w:val="002A0995"/>
    <w:rsid w:val="002C7B03"/>
    <w:rsid w:val="002C7DD3"/>
    <w:rsid w:val="00317926"/>
    <w:rsid w:val="00325E2F"/>
    <w:rsid w:val="0039190D"/>
    <w:rsid w:val="003E4703"/>
    <w:rsid w:val="003F37F5"/>
    <w:rsid w:val="004171F4"/>
    <w:rsid w:val="0043100D"/>
    <w:rsid w:val="0044497C"/>
    <w:rsid w:val="0044675F"/>
    <w:rsid w:val="004601B7"/>
    <w:rsid w:val="0049052B"/>
    <w:rsid w:val="004A2B0D"/>
    <w:rsid w:val="004B4870"/>
    <w:rsid w:val="004C2184"/>
    <w:rsid w:val="004F466E"/>
    <w:rsid w:val="005214C9"/>
    <w:rsid w:val="00527AEB"/>
    <w:rsid w:val="00534E53"/>
    <w:rsid w:val="005A0D91"/>
    <w:rsid w:val="005A5739"/>
    <w:rsid w:val="005F313B"/>
    <w:rsid w:val="006270E6"/>
    <w:rsid w:val="00665084"/>
    <w:rsid w:val="00672706"/>
    <w:rsid w:val="006A50D9"/>
    <w:rsid w:val="006B1BC0"/>
    <w:rsid w:val="006D34AC"/>
    <w:rsid w:val="006F04EB"/>
    <w:rsid w:val="00776F73"/>
    <w:rsid w:val="00780DC1"/>
    <w:rsid w:val="00787F2F"/>
    <w:rsid w:val="007A2890"/>
    <w:rsid w:val="007E058B"/>
    <w:rsid w:val="007E1003"/>
    <w:rsid w:val="007E7875"/>
    <w:rsid w:val="007F45BB"/>
    <w:rsid w:val="00810E77"/>
    <w:rsid w:val="00857FB5"/>
    <w:rsid w:val="00884D37"/>
    <w:rsid w:val="008C044E"/>
    <w:rsid w:val="00931BEF"/>
    <w:rsid w:val="0094358A"/>
    <w:rsid w:val="0094745E"/>
    <w:rsid w:val="00954132"/>
    <w:rsid w:val="009762A0"/>
    <w:rsid w:val="0098490E"/>
    <w:rsid w:val="009A1D5E"/>
    <w:rsid w:val="009B1503"/>
    <w:rsid w:val="009B3A45"/>
    <w:rsid w:val="009F2706"/>
    <w:rsid w:val="009F3533"/>
    <w:rsid w:val="00A12D83"/>
    <w:rsid w:val="00A51CD9"/>
    <w:rsid w:val="00AB718B"/>
    <w:rsid w:val="00AC6484"/>
    <w:rsid w:val="00AC6871"/>
    <w:rsid w:val="00AD533E"/>
    <w:rsid w:val="00B2498B"/>
    <w:rsid w:val="00B53C4C"/>
    <w:rsid w:val="00BB45C5"/>
    <w:rsid w:val="00BC6E99"/>
    <w:rsid w:val="00BE687E"/>
    <w:rsid w:val="00C0278A"/>
    <w:rsid w:val="00C133F0"/>
    <w:rsid w:val="00C34ECE"/>
    <w:rsid w:val="00C706DD"/>
    <w:rsid w:val="00C76B71"/>
    <w:rsid w:val="00C84E4A"/>
    <w:rsid w:val="00CC305E"/>
    <w:rsid w:val="00D20437"/>
    <w:rsid w:val="00D300D4"/>
    <w:rsid w:val="00D35F4A"/>
    <w:rsid w:val="00D375F4"/>
    <w:rsid w:val="00D512F9"/>
    <w:rsid w:val="00D85D47"/>
    <w:rsid w:val="00DA077A"/>
    <w:rsid w:val="00DA3539"/>
    <w:rsid w:val="00DB3F17"/>
    <w:rsid w:val="00DF59B3"/>
    <w:rsid w:val="00E06B45"/>
    <w:rsid w:val="00E1703B"/>
    <w:rsid w:val="00E333EB"/>
    <w:rsid w:val="00E56F32"/>
    <w:rsid w:val="00E752D2"/>
    <w:rsid w:val="00E944DF"/>
    <w:rsid w:val="00EA79FA"/>
    <w:rsid w:val="00F010D3"/>
    <w:rsid w:val="00F125BA"/>
    <w:rsid w:val="00F25858"/>
    <w:rsid w:val="00F26424"/>
    <w:rsid w:val="00FA49B8"/>
    <w:rsid w:val="00FB24DF"/>
    <w:rsid w:val="00FC5DC5"/>
    <w:rsid w:val="00FD5238"/>
    <w:rsid w:val="08212562"/>
    <w:rsid w:val="0A022917"/>
    <w:rsid w:val="12F1313F"/>
    <w:rsid w:val="245E1E24"/>
    <w:rsid w:val="29233D8C"/>
    <w:rsid w:val="2A096AE7"/>
    <w:rsid w:val="2E483E7E"/>
    <w:rsid w:val="2FF22A22"/>
    <w:rsid w:val="33944516"/>
    <w:rsid w:val="3AF14925"/>
    <w:rsid w:val="3E2D1506"/>
    <w:rsid w:val="45E719BA"/>
    <w:rsid w:val="46AE2C2E"/>
    <w:rsid w:val="49A75425"/>
    <w:rsid w:val="4CD047B4"/>
    <w:rsid w:val="5A253945"/>
    <w:rsid w:val="5D7317A1"/>
    <w:rsid w:val="5EDF9208"/>
    <w:rsid w:val="5FAFB075"/>
    <w:rsid w:val="60AF1C24"/>
    <w:rsid w:val="68291A1A"/>
    <w:rsid w:val="691B1594"/>
    <w:rsid w:val="6BDC06F5"/>
    <w:rsid w:val="6F0D6C22"/>
    <w:rsid w:val="6FD35114"/>
    <w:rsid w:val="6FE70C15"/>
    <w:rsid w:val="6FF38B9B"/>
    <w:rsid w:val="73D9A77D"/>
    <w:rsid w:val="73F90A54"/>
    <w:rsid w:val="7657F55C"/>
    <w:rsid w:val="76A434FE"/>
    <w:rsid w:val="76D2301A"/>
    <w:rsid w:val="77861774"/>
    <w:rsid w:val="77978BBA"/>
    <w:rsid w:val="77FD56A3"/>
    <w:rsid w:val="786D3A99"/>
    <w:rsid w:val="79300B45"/>
    <w:rsid w:val="7AFFA044"/>
    <w:rsid w:val="7C55A6FE"/>
    <w:rsid w:val="7C7F22A6"/>
    <w:rsid w:val="7E9808EA"/>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7"/>
    <w:autoRedefine/>
    <w:qFormat/>
    <w:uiPriority w:val="0"/>
    <w:pPr>
      <w:spacing w:line="240" w:lineRule="auto"/>
    </w:pPr>
    <w:rPr>
      <w:sz w:val="18"/>
      <w:szCs w:val="18"/>
    </w:rPr>
  </w:style>
  <w:style w:type="paragraph" w:styleId="8">
    <w:name w:val="footer"/>
    <w:basedOn w:val="1"/>
    <w:link w:val="20"/>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Autospacing="1" w:afterAutospacing="1"/>
      <w:jc w:val="left"/>
    </w:pPr>
    <w:rPr>
      <w:kern w:val="0"/>
      <w:sz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Char"/>
    <w:basedOn w:val="13"/>
    <w:link w:val="7"/>
    <w:autoRedefine/>
    <w:qFormat/>
    <w:uiPriority w:val="0"/>
    <w:rPr>
      <w:rFonts w:eastAsia="仿宋_GB2312"/>
      <w:kern w:val="2"/>
      <w:sz w:val="18"/>
      <w:szCs w:val="18"/>
    </w:rPr>
  </w:style>
  <w:style w:type="paragraph" w:customStyle="1" w:styleId="18">
    <w:name w:val="列表段落1"/>
    <w:basedOn w:val="1"/>
    <w:autoRedefine/>
    <w:unhideWhenUsed/>
    <w:qFormat/>
    <w:uiPriority w:val="99"/>
    <w:pPr>
      <w:ind w:firstLine="420"/>
    </w:pPr>
  </w:style>
  <w:style w:type="paragraph" w:customStyle="1" w:styleId="19">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0">
    <w:name w:val="页脚 Char"/>
    <w:basedOn w:val="13"/>
    <w:link w:val="8"/>
    <w:autoRedefine/>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4"/>
    <w:next w:val="21"/>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autoRedefine/>
    <w:qFormat/>
    <w:uiPriority w:val="3"/>
    <w:rPr>
      <w:rFonts w:eastAsia="仿宋_GB2312"/>
      <w:sz w:val="28"/>
      <w:szCs w:val="28"/>
    </w:rPr>
  </w:style>
  <w:style w:type="paragraph" w:styleId="27">
    <w:name w:val="List Paragraph"/>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8294</Words>
  <Characters>8650</Characters>
  <Lines>64</Lines>
  <Paragraphs>18</Paragraphs>
  <TotalTime>7</TotalTime>
  <ScaleCrop>false</ScaleCrop>
  <LinksUpToDate>false</LinksUpToDate>
  <CharactersWithSpaces>8658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2024-03-28T08:27:00Z</dcterms:created>
  <dc:creator>驰远天合-柴万顺-18690160103</dc:creator>
  <cp:lastModifiedBy>加娜</cp:lastModifiedBy>
  <cp:lastPrinted>2024-04-29T03:17:41Z</cp:lastPrinted>
  <dcterms:modified xsi:type="dcterms:W3CDTF">2024-04-29T03:17:56Z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235B44973DA9A7007EC2D165511795CE_42</vt:lpwstr>
  </property>
</Properties>
</file>