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裕民县国有土地上房屋征收与补偿服务中心</w:t>
      </w:r>
      <w:r>
        <w:rPr>
          <w:rFonts w:hint="eastAsia" w:ascii="方正小标宋_GBK" w:hAnsi="宋体" w:eastAsia="方正小标宋_GBK"/>
          <w:color w:val="auto"/>
          <w:sz w:val="44"/>
          <w:szCs w:val="44"/>
          <w:highlight w:val="none"/>
          <w:lang w:eastAsia="zh-CN"/>
        </w:rPr>
        <w:t>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kinsoku/>
        <w:wordWrap/>
        <w:overflowPunct/>
        <w:topLinePunct w:val="0"/>
        <w:bidi w:val="0"/>
        <w:adjustRightInd/>
        <w:snapToGrid/>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keepNext w:val="0"/>
        <w:keepLines w:val="0"/>
        <w:pageBreakBefore w:val="0"/>
        <w:kinsoku/>
        <w:wordWrap/>
        <w:overflowPunct/>
        <w:topLinePunct w:val="0"/>
        <w:bidi w:val="0"/>
        <w:adjustRightInd/>
        <w:snapToGrid/>
        <w:textAlignment w:val="auto"/>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keepNext w:val="0"/>
        <w:keepLines w:val="0"/>
        <w:pageBreakBefore w:val="0"/>
        <w:kinsoku/>
        <w:wordWrap/>
        <w:overflowPunct/>
        <w:topLinePunct w:val="0"/>
        <w:bidi w:val="0"/>
        <w:adjustRightInd/>
        <w:snapToGrid/>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bookmarkStart w:id="4" w:name="_Toc31238"/>
      <w:bookmarkStart w:id="5" w:name="_Toc2151"/>
      <w:r>
        <w:rPr>
          <w:rFonts w:hint="eastAsia" w:ascii="仿宋_GB2312" w:eastAsia="仿宋_GB2312"/>
          <w:color w:val="auto"/>
          <w:sz w:val="32"/>
          <w:szCs w:val="32"/>
          <w:highlight w:val="none"/>
        </w:rPr>
        <w:t>1、负责贯彻执行国家、自治区有关房屋征收与补偿的法律、法规、规章与政策，并组织实施本行政区域内房屋征收与补偿工作。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2、负责因公共利益需要对房屋实施征收，并对其行为后果承担法律责任。</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3、负责受理违反《国有土地上房屋征收与补偿条例》规定的行为，并及时组织核查、处理。</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4、负责拟订征收补偿方案、房屋征收决定与补偿决定，报请县政府论证、公布或者作出决定。</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5、负责征收补偿安置资金的监管、核发、统计分析和汇总。</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6、负责对房屋征收范围内的权属、区位、用途、建筑面积等情况进行调查登记，并在房屋征收范围内向被征收人公布调查结果。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7、负责组织被征收人协商确定房地产评估机构，配合评估机构对被征收房屋的测绘、评估工作及评估结果的审核工作。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8、负责房屋征收的补偿方案的草拟，报县政府审查、论证、并发布。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9、负责协助相关部门依法进行调查认定处理、协助政法部门进行房屋征收社会稳定风险评估工作。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10、负责书面通知有关部门暂停办理征收范围内房屋的新建、扩建、改建和改变房屋用途等相关手续。</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11、负责与被征收人依照规定，就补偿方式、补偿金额、支付期限、产权调换、搬迁费、临时安置费、停产停业损失等事项，订立补偿协议。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12、负责协调安置地点、安置房户型、价格、楼层系数、征收范围普遍商品房价格的数据调取工作。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13、负责与被征收人洽谈，在规定时间内签订房屋征收与补偿安置协议。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14、负责与被征收人在征收补偿方案确定的签约期限内达不成补偿协议或者被征收房屋所有权人不明确，报县人民政府作出补偿决定。</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15、负责房屋征收行政复议应诉工作；依法拟定征收补偿决定报县人民政府批准，并申请法院依法强制执行。</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16、负责对被征收户房屋的拆除工作及被征收户回迁安置工作。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17、负责房屋征收从业人员的培训、监管工作。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18、负责房屋征收补偿安置矛盾纠纷的调解，以及房屋征收补偿过程中的信访与政策咨询工作。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19、负责房屋征收与补偿结果的公示及房屋征收与补偿信息、统计、档案管理工作。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20、其他与房屋征收与补偿相关的工作职责。</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21、完成上级交办的其他工作。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裕民县国有土地上房屋征收与补偿服务中心2023年度，实有人数</w:t>
      </w:r>
      <w:r>
        <w:rPr>
          <w:rFonts w:hint="eastAsia" w:ascii="仿宋_GB2312" w:eastAsia="仿宋_GB2312"/>
          <w:color w:val="auto"/>
          <w:sz w:val="32"/>
          <w:szCs w:val="32"/>
          <w:highlight w:val="none"/>
          <w:lang w:val="zh-CN" w:eastAsia="zh-CN"/>
        </w:rPr>
        <w:t>5</w:t>
      </w:r>
      <w:r>
        <w:rPr>
          <w:rFonts w:hint="eastAsia" w:ascii="仿宋_GB2312" w:eastAsia="仿宋_GB2312"/>
          <w:color w:val="auto"/>
          <w:sz w:val="32"/>
          <w:szCs w:val="32"/>
          <w:highlight w:val="none"/>
          <w:lang w:val="en-US" w:eastAsia="zh-CN"/>
        </w:rPr>
        <w:t>人，其中：在职人员</w:t>
      </w:r>
      <w:r>
        <w:rPr>
          <w:rFonts w:hint="eastAsia" w:ascii="仿宋_GB2312" w:eastAsia="仿宋_GB2312"/>
          <w:color w:val="auto"/>
          <w:sz w:val="32"/>
          <w:szCs w:val="32"/>
          <w:highlight w:val="none"/>
          <w:lang w:val="zh-CN" w:eastAsia="zh-CN"/>
        </w:rPr>
        <w:t>5</w:t>
      </w:r>
      <w:r>
        <w:rPr>
          <w:rFonts w:hint="eastAsia" w:ascii="仿宋_GB2312" w:eastAsia="仿宋_GB2312"/>
          <w:color w:val="auto"/>
          <w:sz w:val="32"/>
          <w:szCs w:val="32"/>
          <w:highlight w:val="none"/>
          <w:lang w:val="en-US" w:eastAsia="zh-CN"/>
        </w:rPr>
        <w:t>人，离休人员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lang w:val="en-US" w:eastAsia="zh-CN"/>
        </w:rPr>
        <w:t>人，退休人员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lang w:val="en-US" w:eastAsia="zh-CN"/>
        </w:rPr>
        <w:t>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单位无下属预算单位，下设3个处室，分别是：办公室、征收补偿综合室、财务室。</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29374"/>
      <w:bookmarkStart w:id="7"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hAnsi="Times New Roman" w:eastAsia="仿宋_GB2312" w:cs="Times New Roman"/>
          <w:b/>
          <w:bCs/>
          <w:spacing w:val="0"/>
          <w:sz w:val="32"/>
          <w:szCs w:val="32"/>
          <w:highlight w:val="none"/>
          <w:lang w:eastAsia="zh-CN"/>
        </w:rPr>
        <w:t>2023年度</w:t>
      </w:r>
      <w:r>
        <w:rPr>
          <w:rFonts w:hint="eastAsia" w:ascii="仿宋_GB2312" w:hAnsi="Times New Roman" w:eastAsia="仿宋_GB2312" w:cs="Times New Roman"/>
          <w:b/>
          <w:bCs/>
          <w:spacing w:val="0"/>
          <w:sz w:val="32"/>
          <w:szCs w:val="32"/>
          <w:highlight w:val="none"/>
          <w:lang w:val="en-US" w:eastAsia="zh-CN"/>
        </w:rPr>
        <w:t>收入总计</w:t>
      </w:r>
      <w:r>
        <w:rPr>
          <w:rFonts w:hint="eastAsia" w:ascii="仿宋_GB2312" w:hAnsi="Times New Roman" w:eastAsia="仿宋_GB2312" w:cs="Times New Roman"/>
          <w:b/>
          <w:bCs/>
          <w:spacing w:val="0"/>
          <w:sz w:val="32"/>
          <w:szCs w:val="32"/>
          <w:highlight w:val="none"/>
          <w:lang w:eastAsia="zh-CN"/>
        </w:rPr>
        <w:t>107.04万元，</w:t>
      </w:r>
      <w:r>
        <w:rPr>
          <w:rFonts w:hint="eastAsia" w:ascii="仿宋_GB2312" w:eastAsia="仿宋_GB2312"/>
          <w:color w:val="auto"/>
          <w:sz w:val="32"/>
          <w:szCs w:val="32"/>
          <w:highlight w:val="none"/>
          <w:lang w:val="en-US" w:eastAsia="zh-CN"/>
        </w:rPr>
        <w:t>其中：本年收入合计</w:t>
      </w:r>
      <w:r>
        <w:rPr>
          <w:rFonts w:hint="eastAsia" w:ascii="仿宋_GB2312" w:eastAsia="仿宋_GB2312"/>
          <w:color w:val="auto"/>
          <w:sz w:val="32"/>
          <w:szCs w:val="32"/>
          <w:highlight w:val="none"/>
          <w:lang w:val="zh-CN" w:eastAsia="zh-CN"/>
        </w:rPr>
        <w:t>107.04万元，使用非财政拨款结余0.00万元，年初结转和结余0.00万元。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en-US" w:eastAsia="zh-CN"/>
        </w:rPr>
      </w:pPr>
      <w:r>
        <w:rPr>
          <w:rFonts w:hint="eastAsia" w:ascii="仿宋_GB2312" w:hAnsi="Times New Roman" w:eastAsia="仿宋_GB2312" w:cs="Times New Roman"/>
          <w:b/>
          <w:bCs/>
          <w:spacing w:val="0"/>
          <w:sz w:val="32"/>
          <w:szCs w:val="32"/>
          <w:highlight w:val="none"/>
          <w:lang w:val="en-US" w:eastAsia="zh-CN"/>
        </w:rPr>
        <w:t>2023</w:t>
      </w:r>
      <w:r>
        <w:rPr>
          <w:rFonts w:hint="eastAsia" w:ascii="仿宋_GB2312" w:hAnsi="Times New Roman" w:eastAsia="仿宋_GB2312" w:cs="Times New Roman"/>
          <w:b/>
          <w:bCs/>
          <w:spacing w:val="0"/>
          <w:sz w:val="32"/>
          <w:szCs w:val="32"/>
          <w:highlight w:val="none"/>
          <w:lang w:eastAsia="zh-CN"/>
        </w:rPr>
        <w:t>年</w:t>
      </w:r>
      <w:r>
        <w:rPr>
          <w:rFonts w:hint="eastAsia" w:ascii="仿宋_GB2312" w:hAnsi="Times New Roman" w:eastAsia="仿宋_GB2312" w:cs="Times New Roman"/>
          <w:b/>
          <w:bCs/>
          <w:spacing w:val="0"/>
          <w:sz w:val="32"/>
          <w:szCs w:val="32"/>
          <w:highlight w:val="none"/>
          <w:lang w:val="en-US" w:eastAsia="zh-CN"/>
        </w:rPr>
        <w:t>度</w:t>
      </w:r>
      <w:r>
        <w:rPr>
          <w:rFonts w:hint="eastAsia" w:ascii="仿宋_GB2312" w:hAnsi="Times New Roman" w:eastAsia="仿宋_GB2312" w:cs="Times New Roman"/>
          <w:b/>
          <w:bCs/>
          <w:spacing w:val="0"/>
          <w:sz w:val="32"/>
          <w:szCs w:val="32"/>
          <w:highlight w:val="none"/>
          <w:lang w:eastAsia="zh-CN"/>
        </w:rPr>
        <w:t>支出</w:t>
      </w:r>
      <w:r>
        <w:rPr>
          <w:rFonts w:hint="eastAsia" w:ascii="仿宋_GB2312" w:hAnsi="Times New Roman" w:eastAsia="仿宋_GB2312" w:cs="Times New Roman"/>
          <w:b/>
          <w:bCs/>
          <w:spacing w:val="0"/>
          <w:sz w:val="32"/>
          <w:szCs w:val="32"/>
          <w:highlight w:val="none"/>
          <w:lang w:val="en-US" w:eastAsia="zh-CN"/>
        </w:rPr>
        <w:t>总计</w:t>
      </w:r>
      <w:r>
        <w:rPr>
          <w:rFonts w:hint="eastAsia" w:ascii="仿宋_GB2312" w:hAnsi="Times New Roman" w:eastAsia="仿宋_GB2312" w:cs="Times New Roman"/>
          <w:b/>
          <w:bCs/>
          <w:spacing w:val="0"/>
          <w:sz w:val="32"/>
          <w:szCs w:val="32"/>
          <w:highlight w:val="none"/>
          <w:lang w:eastAsia="zh-CN"/>
        </w:rPr>
        <w:t>107.04万元，</w:t>
      </w:r>
      <w:r>
        <w:rPr>
          <w:rFonts w:hint="eastAsia" w:ascii="仿宋_GB2312" w:eastAsia="仿宋_GB2312"/>
          <w:color w:val="auto"/>
          <w:sz w:val="32"/>
          <w:szCs w:val="32"/>
          <w:highlight w:val="none"/>
          <w:lang w:val="en-US" w:eastAsia="zh-CN"/>
        </w:rPr>
        <w:t>其中：本年支出合计107.04万元，结余分配0.00万元，年末结转和结余0.00万元。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z w:val="32"/>
          <w:szCs w:val="32"/>
          <w:highlight w:val="none"/>
          <w:lang w:val="en-US" w:eastAsia="zh-CN"/>
        </w:rPr>
      </w:pPr>
      <w:r>
        <w:rPr>
          <w:rFonts w:hint="eastAsia" w:ascii="仿宋_GB2312" w:hAnsi="Times New Roman" w:eastAsia="仿宋_GB2312" w:cs="Times New Roman"/>
          <w:b/>
          <w:bCs/>
          <w:spacing w:val="0"/>
          <w:sz w:val="32"/>
          <w:szCs w:val="32"/>
          <w:highlight w:val="none"/>
          <w:lang w:val="en-US" w:eastAsia="zh-CN"/>
        </w:rPr>
        <w:t>收入支出总体与上年相比，</w:t>
      </w:r>
      <w:r>
        <w:rPr>
          <w:rFonts w:hint="eastAsia" w:ascii="仿宋_GB2312" w:eastAsia="仿宋_GB2312"/>
          <w:color w:val="auto"/>
          <w:sz w:val="32"/>
          <w:szCs w:val="32"/>
          <w:highlight w:val="none"/>
          <w:lang w:val="zh-CN" w:eastAsia="zh-CN"/>
        </w:rPr>
        <w:t>增加8.17万元</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增长8.26%</w:t>
      </w:r>
      <w:r>
        <w:rPr>
          <w:rFonts w:hint="eastAsia" w:ascii="仿宋_GB2312" w:eastAsia="仿宋_GB2312"/>
          <w:color w:val="auto"/>
          <w:sz w:val="32"/>
          <w:szCs w:val="32"/>
          <w:highlight w:val="none"/>
          <w:lang w:val="en-US" w:eastAsia="zh-CN"/>
        </w:rPr>
        <w:t>，主要原因是：2023年在职人员普调增资；社保、医保、公积金缴费基数增长；其他商品和服务支出比上年增加。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hAnsi="Times New Roman" w:eastAsia="仿宋_GB2312" w:cs="Times New Roman"/>
          <w:b/>
          <w:bCs/>
          <w:spacing w:val="0"/>
          <w:sz w:val="32"/>
          <w:szCs w:val="32"/>
          <w:highlight w:val="none"/>
          <w:lang w:val="zh-CN" w:eastAsia="zh-CN"/>
        </w:rPr>
        <w:t>本年收入107.04万元，</w:t>
      </w:r>
      <w:r>
        <w:rPr>
          <w:rFonts w:hint="eastAsia" w:ascii="仿宋_GB2312" w:eastAsia="仿宋_GB2312"/>
          <w:color w:val="auto"/>
          <w:sz w:val="32"/>
          <w:szCs w:val="32"/>
          <w:highlight w:val="none"/>
          <w:lang w:val="zh-CN" w:eastAsia="zh-CN"/>
        </w:rPr>
        <w:t>其中：财政拨款收入107.04万元，占100.00%；上级补助收入0.00万元，占0.00%；事业收入0.00万元，占0.00%；经营收入0.00万元，占0.00%；附属单位上缴收入0.00万元，占0.00%；其他收入0.00万元，占0.00%。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hAnsi="Times New Roman" w:eastAsia="仿宋_GB2312" w:cs="Times New Roman"/>
          <w:b/>
          <w:bCs/>
          <w:spacing w:val="0"/>
          <w:sz w:val="32"/>
          <w:szCs w:val="32"/>
          <w:highlight w:val="none"/>
          <w:lang w:val="zh-CN" w:eastAsia="zh-CN"/>
        </w:rPr>
        <w:t>本年支出107.04万元，</w:t>
      </w:r>
      <w:r>
        <w:rPr>
          <w:rFonts w:hint="eastAsia" w:ascii="仿宋_GB2312" w:eastAsia="仿宋_GB2312"/>
          <w:color w:val="auto"/>
          <w:sz w:val="32"/>
          <w:szCs w:val="32"/>
          <w:highlight w:val="none"/>
          <w:lang w:val="zh-CN" w:eastAsia="zh-CN"/>
        </w:rPr>
        <w:t>其中：基本支出107.04万元，占100.00%；项目支出0.00万元，占0.00%；上缴上级支出0.00万元，占0.00%；经营支出0.00万元，占0.00%；对附属单位补助支出0.00万元，占0.00%。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hAnsi="Times New Roman" w:eastAsia="仿宋_GB2312" w:cs="Times New Roman"/>
          <w:b/>
          <w:bCs/>
          <w:spacing w:val="0"/>
          <w:sz w:val="32"/>
          <w:szCs w:val="32"/>
          <w:highlight w:val="none"/>
          <w:lang w:val="zh-CN" w:eastAsia="zh-CN"/>
        </w:rPr>
        <w:t>2023年度财政拨款收入</w:t>
      </w:r>
      <w:r>
        <w:rPr>
          <w:rFonts w:hint="eastAsia" w:ascii="仿宋_GB2312" w:hAnsi="Times New Roman" w:eastAsia="仿宋_GB2312" w:cs="Times New Roman"/>
          <w:b/>
          <w:bCs/>
          <w:spacing w:val="0"/>
          <w:sz w:val="32"/>
          <w:szCs w:val="32"/>
          <w:highlight w:val="none"/>
          <w:lang w:val="en-US" w:eastAsia="zh-CN"/>
        </w:rPr>
        <w:t>总计</w:t>
      </w:r>
      <w:r>
        <w:rPr>
          <w:rFonts w:hint="eastAsia" w:ascii="仿宋_GB2312" w:hAnsi="Times New Roman" w:eastAsia="仿宋_GB2312" w:cs="Times New Roman"/>
          <w:b/>
          <w:bCs/>
          <w:spacing w:val="0"/>
          <w:sz w:val="32"/>
          <w:szCs w:val="32"/>
          <w:highlight w:val="none"/>
          <w:lang w:val="zh-CN" w:eastAsia="zh-CN"/>
        </w:rPr>
        <w:t>107.04万元，</w:t>
      </w:r>
      <w:r>
        <w:rPr>
          <w:rFonts w:hint="eastAsia" w:ascii="仿宋_GB2312" w:eastAsia="仿宋_GB2312"/>
          <w:color w:val="auto"/>
          <w:sz w:val="32"/>
          <w:szCs w:val="32"/>
          <w:highlight w:val="none"/>
          <w:lang w:val="en-US" w:eastAsia="zh-CN"/>
        </w:rPr>
        <w:t>其中：年初财政拨款结转和结余</w:t>
      </w:r>
      <w:r>
        <w:rPr>
          <w:rFonts w:hint="eastAsia" w:ascii="仿宋_GB2312" w:eastAsia="仿宋_GB2312"/>
          <w:color w:val="auto"/>
          <w:sz w:val="32"/>
          <w:szCs w:val="32"/>
          <w:highlight w:val="none"/>
          <w:lang w:val="zh-CN" w:eastAsia="zh-CN"/>
        </w:rPr>
        <w:t>0.00万元，</w:t>
      </w:r>
      <w:r>
        <w:rPr>
          <w:rFonts w:hint="eastAsia" w:ascii="仿宋_GB2312" w:eastAsia="仿宋_GB2312"/>
          <w:color w:val="auto"/>
          <w:sz w:val="32"/>
          <w:szCs w:val="32"/>
          <w:highlight w:val="none"/>
          <w:lang w:val="en-US" w:eastAsia="zh-CN"/>
        </w:rPr>
        <w:t>本年财政拨款收入</w:t>
      </w:r>
      <w:r>
        <w:rPr>
          <w:rFonts w:hint="eastAsia" w:ascii="仿宋_GB2312" w:eastAsia="仿宋_GB2312"/>
          <w:color w:val="auto"/>
          <w:sz w:val="32"/>
          <w:szCs w:val="32"/>
          <w:highlight w:val="none"/>
          <w:lang w:val="zh-CN" w:eastAsia="zh-CN"/>
        </w:rPr>
        <w:t>107.04万元。</w:t>
      </w:r>
      <w:r>
        <w:rPr>
          <w:rFonts w:hint="eastAsia" w:ascii="仿宋_GB2312" w:hAnsi="Times New Roman" w:eastAsia="仿宋_GB2312" w:cs="Times New Roman"/>
          <w:b/>
          <w:bCs/>
          <w:spacing w:val="0"/>
          <w:sz w:val="32"/>
          <w:szCs w:val="32"/>
          <w:highlight w:val="none"/>
          <w:lang w:val="zh-CN" w:eastAsia="zh-CN"/>
        </w:rPr>
        <w:t>财政拨款支出</w:t>
      </w:r>
      <w:r>
        <w:rPr>
          <w:rFonts w:hint="eastAsia" w:ascii="仿宋_GB2312" w:hAnsi="Times New Roman" w:eastAsia="仿宋_GB2312" w:cs="Times New Roman"/>
          <w:b/>
          <w:bCs/>
          <w:spacing w:val="0"/>
          <w:sz w:val="32"/>
          <w:szCs w:val="32"/>
          <w:highlight w:val="none"/>
          <w:lang w:val="en-US" w:eastAsia="zh-CN"/>
        </w:rPr>
        <w:t>总计</w:t>
      </w:r>
      <w:r>
        <w:rPr>
          <w:rFonts w:hint="eastAsia" w:ascii="仿宋_GB2312" w:hAnsi="Times New Roman" w:eastAsia="仿宋_GB2312" w:cs="Times New Roman"/>
          <w:b/>
          <w:bCs/>
          <w:spacing w:val="0"/>
          <w:sz w:val="32"/>
          <w:szCs w:val="32"/>
          <w:highlight w:val="none"/>
          <w:lang w:val="zh-CN" w:eastAsia="zh-CN"/>
        </w:rPr>
        <w:t>107.04万元，</w:t>
      </w:r>
      <w:r>
        <w:rPr>
          <w:rFonts w:hint="eastAsia" w:ascii="仿宋_GB2312" w:eastAsia="仿宋_GB2312"/>
          <w:color w:val="auto"/>
          <w:sz w:val="32"/>
          <w:szCs w:val="32"/>
          <w:highlight w:val="none"/>
          <w:lang w:val="en-US" w:eastAsia="zh-CN"/>
        </w:rPr>
        <w:t>其中：年末财政拨款结转和结余</w:t>
      </w:r>
      <w:r>
        <w:rPr>
          <w:rFonts w:hint="eastAsia" w:ascii="仿宋_GB2312" w:eastAsia="仿宋_GB2312"/>
          <w:color w:val="auto"/>
          <w:sz w:val="32"/>
          <w:szCs w:val="32"/>
          <w:highlight w:val="none"/>
          <w:lang w:val="zh-CN" w:eastAsia="zh-CN"/>
        </w:rPr>
        <w:t>0.00万元，</w:t>
      </w:r>
      <w:r>
        <w:rPr>
          <w:rFonts w:hint="eastAsia" w:ascii="仿宋_GB2312" w:eastAsia="仿宋_GB2312"/>
          <w:color w:val="auto"/>
          <w:sz w:val="32"/>
          <w:szCs w:val="32"/>
          <w:highlight w:val="none"/>
          <w:lang w:val="en-US" w:eastAsia="zh-CN"/>
        </w:rPr>
        <w:t>本年财政拨款支出</w:t>
      </w:r>
      <w:r>
        <w:rPr>
          <w:rFonts w:hint="eastAsia" w:ascii="仿宋_GB2312" w:eastAsia="仿宋_GB2312"/>
          <w:color w:val="auto"/>
          <w:sz w:val="32"/>
          <w:szCs w:val="32"/>
          <w:highlight w:val="none"/>
          <w:lang w:val="zh-CN" w:eastAsia="zh-CN"/>
        </w:rPr>
        <w:t>107.04万元。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en-US" w:eastAsia="zh-CN"/>
        </w:rPr>
      </w:pPr>
      <w:r>
        <w:rPr>
          <w:rFonts w:hint="eastAsia" w:ascii="仿宋_GB2312" w:hAnsi="Times New Roman" w:eastAsia="仿宋_GB2312" w:cs="Times New Roman"/>
          <w:b/>
          <w:bCs/>
          <w:spacing w:val="0"/>
          <w:sz w:val="32"/>
          <w:szCs w:val="32"/>
          <w:highlight w:val="none"/>
          <w:lang w:val="zh-CN" w:eastAsia="zh-CN"/>
        </w:rPr>
        <w:t>财政拨款收入支出总体与上年相比</w:t>
      </w:r>
      <w:r>
        <w:rPr>
          <w:rFonts w:hint="eastAsia" w:ascii="仿宋_GB2312" w:hAnsi="Times New Roman" w:eastAsia="仿宋_GB2312" w:cs="Times New Roman"/>
          <w:b/>
          <w:bCs/>
          <w:spacing w:val="0"/>
          <w:sz w:val="32"/>
          <w:szCs w:val="32"/>
          <w:highlight w:val="none"/>
          <w:lang w:val="en-US" w:eastAsia="zh-CN"/>
        </w:rPr>
        <w:t>,</w:t>
      </w:r>
      <w:r>
        <w:rPr>
          <w:rFonts w:hint="eastAsia" w:ascii="仿宋_GB2312" w:eastAsia="仿宋_GB2312"/>
          <w:color w:val="auto"/>
          <w:sz w:val="32"/>
          <w:szCs w:val="32"/>
          <w:highlight w:val="none"/>
          <w:lang w:val="zh-CN" w:eastAsia="zh-CN"/>
        </w:rPr>
        <w:t>增加8.17万元，增长8.26%，主要原因是：202</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val="zh-CN" w:eastAsia="zh-CN"/>
        </w:rPr>
        <w:t>年在职人员普调增资；社保、医保、公积金缴费基数增长；其他商品和服务支出比上年增加</w:t>
      </w:r>
      <w:r>
        <w:rPr>
          <w:rFonts w:hint="eastAsia" w:ascii="仿宋_GB2312" w:eastAsia="仿宋_GB2312"/>
          <w:color w:val="auto"/>
          <w:sz w:val="32"/>
          <w:szCs w:val="32"/>
          <w:highlight w:val="none"/>
          <w:lang w:val="en-US" w:eastAsia="zh-CN"/>
        </w:rPr>
        <w:t>0.84万元。</w:t>
      </w:r>
      <w:r>
        <w:rPr>
          <w:rFonts w:hint="eastAsia" w:ascii="仿宋_GB2312" w:hAnsi="Times New Roman" w:eastAsia="仿宋_GB2312" w:cs="Times New Roman"/>
          <w:b/>
          <w:bCs/>
          <w:spacing w:val="0"/>
          <w:sz w:val="32"/>
          <w:szCs w:val="32"/>
          <w:highlight w:val="none"/>
          <w:lang w:val="zh-CN" w:eastAsia="zh-CN"/>
        </w:rPr>
        <w:t>与年初预算相比，</w:t>
      </w:r>
      <w:r>
        <w:rPr>
          <w:rFonts w:hint="eastAsia" w:ascii="仿宋_GB2312" w:eastAsia="仿宋_GB2312"/>
          <w:color w:val="auto"/>
          <w:sz w:val="32"/>
          <w:szCs w:val="32"/>
          <w:highlight w:val="none"/>
          <w:lang w:val="zh-CN" w:eastAsia="zh-CN"/>
        </w:rPr>
        <w:t>年初预算数103.48万元，决算数107.04万元，预决算差异率3.44%，主要原因是：202</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val="zh-CN" w:eastAsia="zh-CN"/>
        </w:rPr>
        <w:t>年在职人员普调增资；社保、医保、公积金缴费基数增长；其他商品和服务支出比上年增加</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1"/>
        <w:rPr>
          <w:rFonts w:hint="eastAsia" w:ascii="黑体" w:hAnsi="黑体" w:eastAsia="黑体" w:cs="黑体"/>
          <w:bCs/>
          <w:color w:val="auto"/>
          <w:kern w:val="0"/>
          <w:sz w:val="32"/>
          <w:szCs w:val="32"/>
          <w:highlight w:val="none"/>
          <w:lang w:eastAsia="zh-CN"/>
        </w:rPr>
      </w:pPr>
      <w:bookmarkStart w:id="16" w:name="_Toc20360"/>
      <w:bookmarkStart w:id="17" w:name="_Toc13833"/>
      <w:r>
        <w:rPr>
          <w:rFonts w:hint="eastAsia" w:ascii="黑体" w:hAnsi="黑体" w:eastAsia="黑体" w:cs="黑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z w:val="32"/>
          <w:szCs w:val="32"/>
          <w:highlight w:val="none"/>
          <w:lang w:val="en-US" w:eastAsia="zh-CN"/>
        </w:rPr>
      </w:pPr>
      <w:r>
        <w:rPr>
          <w:rFonts w:hint="eastAsia" w:ascii="仿宋_GB2312" w:hAnsi="Times New Roman" w:eastAsia="仿宋_GB2312" w:cs="Times New Roman"/>
          <w:b/>
          <w:bCs/>
          <w:spacing w:val="0"/>
          <w:sz w:val="32"/>
          <w:szCs w:val="32"/>
          <w:highlight w:val="none"/>
          <w:lang w:val="zh-CN" w:eastAsia="zh-CN"/>
        </w:rPr>
        <w:t>2023年度一般公共预算财政拨款支出107.04万元，</w:t>
      </w:r>
      <w:r>
        <w:rPr>
          <w:rFonts w:hint="eastAsia" w:ascii="仿宋_GB2312" w:eastAsia="仿宋_GB2312"/>
          <w:color w:val="auto"/>
          <w:sz w:val="32"/>
          <w:szCs w:val="32"/>
          <w:highlight w:val="none"/>
          <w:lang w:val="zh-CN" w:eastAsia="zh-CN"/>
        </w:rPr>
        <w:t>占本年支出合计的100.00%。</w:t>
      </w:r>
      <w:r>
        <w:rPr>
          <w:rFonts w:hint="eastAsia" w:ascii="仿宋_GB2312" w:hAnsi="Times New Roman" w:eastAsia="仿宋_GB2312" w:cs="Times New Roman"/>
          <w:b/>
          <w:bCs/>
          <w:spacing w:val="0"/>
          <w:sz w:val="32"/>
          <w:szCs w:val="32"/>
          <w:highlight w:val="none"/>
          <w:lang w:val="zh-CN" w:eastAsia="zh-CN"/>
        </w:rPr>
        <w:t>与上年相比，</w:t>
      </w:r>
      <w:r>
        <w:rPr>
          <w:rFonts w:hint="eastAsia" w:ascii="仿宋_GB2312" w:eastAsia="仿宋_GB2312"/>
          <w:color w:val="auto"/>
          <w:sz w:val="32"/>
          <w:szCs w:val="32"/>
          <w:highlight w:val="none"/>
          <w:lang w:val="zh-CN" w:eastAsia="zh-CN"/>
        </w:rPr>
        <w:t>增加8.17万元，增长8.26%，主要原因是：202</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val="zh-CN" w:eastAsia="zh-CN"/>
        </w:rPr>
        <w:t>年在职人员普调增资；社保、医保、公积金缴费基数增长；其他商品和服务支出比上年增加。</w:t>
      </w:r>
      <w:r>
        <w:rPr>
          <w:rFonts w:hint="eastAsia" w:ascii="仿宋_GB2312" w:hAnsi="Times New Roman" w:eastAsia="仿宋_GB2312" w:cs="Times New Roman"/>
          <w:b/>
          <w:bCs/>
          <w:spacing w:val="0"/>
          <w:sz w:val="32"/>
          <w:szCs w:val="32"/>
          <w:highlight w:val="none"/>
          <w:lang w:val="zh-CN" w:eastAsia="zh-CN"/>
        </w:rPr>
        <w:t>与年初预算相比，</w:t>
      </w:r>
      <w:r>
        <w:rPr>
          <w:rFonts w:hint="eastAsia" w:ascii="仿宋_GB2312" w:eastAsia="仿宋_GB2312"/>
          <w:color w:val="auto"/>
          <w:sz w:val="32"/>
          <w:szCs w:val="32"/>
          <w:highlight w:val="none"/>
          <w:lang w:val="zh-CN" w:eastAsia="zh-CN"/>
        </w:rPr>
        <w:t>年初预算数103.48万元，决算数107.04万元，预决算差异率3.44%，主要原因是：202</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val="zh-CN" w:eastAsia="zh-CN"/>
        </w:rPr>
        <w:t>年在职人员普调增资；社保、医保、公积金缴费基数增长；其他商品和服务支出比上年增加。</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kern w:val="2"/>
          <w:sz w:val="32"/>
          <w:szCs w:val="32"/>
          <w:highlight w:val="none"/>
          <w:lang w:val="en-US" w:eastAsia="zh-CN" w:bidi="ar-SA"/>
        </w:rPr>
        <w:t>1</w:t>
      </w:r>
      <w:r>
        <w:rPr>
          <w:rFonts w:hint="default" w:ascii="仿宋_GB2312" w:hAnsi="Times New Roman" w:eastAsia="仿宋_GB2312" w:cs="Times New Roman"/>
          <w:color w:val="auto"/>
          <w:kern w:val="2"/>
          <w:sz w:val="32"/>
          <w:szCs w:val="32"/>
          <w:highlight w:val="none"/>
          <w:lang w:val="zh-CN" w:eastAsia="zh-CN" w:bidi="ar-SA"/>
        </w:rPr>
        <w:t>.社会保障和就业支出（类）</w:t>
      </w:r>
      <w:r>
        <w:rPr>
          <w:rFonts w:hint="eastAsia" w:ascii="仿宋_GB2312" w:hAnsi="Times New Roman" w:eastAsia="仿宋_GB2312" w:cs="Times New Roman"/>
          <w:color w:val="auto"/>
          <w:kern w:val="2"/>
          <w:sz w:val="32"/>
          <w:szCs w:val="32"/>
          <w:highlight w:val="none"/>
          <w:lang w:val="zh-CN" w:eastAsia="zh-CN" w:bidi="ar-SA"/>
        </w:rPr>
        <w:t>10.18</w:t>
      </w:r>
      <w:r>
        <w:rPr>
          <w:rFonts w:hint="default" w:ascii="仿宋_GB2312" w:hAnsi="Times New Roman" w:eastAsia="仿宋_GB2312" w:cs="Times New Roman"/>
          <w:color w:val="auto"/>
          <w:kern w:val="2"/>
          <w:sz w:val="32"/>
          <w:szCs w:val="32"/>
          <w:highlight w:val="none"/>
          <w:lang w:val="zh-CN" w:eastAsia="zh-CN" w:bidi="ar-SA"/>
        </w:rPr>
        <w:t>万元，占</w:t>
      </w:r>
      <w:r>
        <w:rPr>
          <w:rFonts w:hint="eastAsia" w:ascii="仿宋_GB2312" w:hAnsi="Times New Roman" w:eastAsia="仿宋_GB2312" w:cs="Times New Roman"/>
          <w:color w:val="auto"/>
          <w:kern w:val="2"/>
          <w:sz w:val="32"/>
          <w:szCs w:val="32"/>
          <w:highlight w:val="none"/>
          <w:lang w:val="zh-CN" w:eastAsia="zh-CN" w:bidi="ar-SA"/>
        </w:rPr>
        <w:t>9.51</w:t>
      </w:r>
      <w:r>
        <w:rPr>
          <w:rFonts w:hint="default" w:ascii="仿宋_GB2312" w:hAnsi="Times New Roman" w:eastAsia="仿宋_GB2312" w:cs="Times New Roman"/>
          <w:color w:val="auto"/>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kern w:val="2"/>
          <w:sz w:val="32"/>
          <w:szCs w:val="32"/>
          <w:highlight w:val="none"/>
          <w:lang w:val="en-US" w:eastAsia="zh-CN" w:bidi="ar-SA"/>
        </w:rPr>
        <w:t>2</w:t>
      </w:r>
      <w:r>
        <w:rPr>
          <w:rFonts w:hint="default" w:ascii="仿宋_GB2312" w:hAnsi="Times New Roman" w:eastAsia="仿宋_GB2312" w:cs="Times New Roman"/>
          <w:color w:val="auto"/>
          <w:kern w:val="2"/>
          <w:sz w:val="32"/>
          <w:szCs w:val="32"/>
          <w:highlight w:val="none"/>
          <w:lang w:val="zh-CN" w:eastAsia="zh-CN" w:bidi="ar-SA"/>
        </w:rPr>
        <w:t>.卫生健康支出（类）</w:t>
      </w:r>
      <w:r>
        <w:rPr>
          <w:rFonts w:hint="eastAsia" w:ascii="仿宋_GB2312" w:hAnsi="Times New Roman" w:eastAsia="仿宋_GB2312" w:cs="Times New Roman"/>
          <w:color w:val="auto"/>
          <w:kern w:val="2"/>
          <w:sz w:val="32"/>
          <w:szCs w:val="32"/>
          <w:highlight w:val="none"/>
          <w:lang w:val="zh-CN" w:eastAsia="zh-CN" w:bidi="ar-SA"/>
        </w:rPr>
        <w:t>4.49</w:t>
      </w:r>
      <w:r>
        <w:rPr>
          <w:rFonts w:hint="default" w:ascii="仿宋_GB2312" w:hAnsi="Times New Roman" w:eastAsia="仿宋_GB2312" w:cs="Times New Roman"/>
          <w:color w:val="auto"/>
          <w:kern w:val="2"/>
          <w:sz w:val="32"/>
          <w:szCs w:val="32"/>
          <w:highlight w:val="none"/>
          <w:lang w:val="zh-CN" w:eastAsia="zh-CN" w:bidi="ar-SA"/>
        </w:rPr>
        <w:t>万元，占</w:t>
      </w:r>
      <w:r>
        <w:rPr>
          <w:rFonts w:hint="eastAsia" w:ascii="仿宋_GB2312" w:hAnsi="Times New Roman" w:eastAsia="仿宋_GB2312" w:cs="Times New Roman"/>
          <w:color w:val="auto"/>
          <w:kern w:val="2"/>
          <w:sz w:val="32"/>
          <w:szCs w:val="32"/>
          <w:highlight w:val="none"/>
          <w:lang w:val="zh-CN" w:eastAsia="zh-CN" w:bidi="ar-SA"/>
        </w:rPr>
        <w:t>4.</w:t>
      </w:r>
      <w:r>
        <w:rPr>
          <w:rFonts w:hint="eastAsia" w:ascii="仿宋_GB2312" w:hAnsi="Times New Roman" w:eastAsia="仿宋_GB2312" w:cs="Times New Roman"/>
          <w:color w:val="auto"/>
          <w:kern w:val="2"/>
          <w:sz w:val="32"/>
          <w:szCs w:val="32"/>
          <w:highlight w:val="none"/>
          <w:lang w:val="en-US" w:eastAsia="zh-CN" w:bidi="ar-SA"/>
        </w:rPr>
        <w:t>19</w:t>
      </w:r>
      <w:r>
        <w:rPr>
          <w:rFonts w:hint="default" w:ascii="仿宋_GB2312" w:hAnsi="Times New Roman" w:eastAsia="仿宋_GB2312" w:cs="Times New Roman"/>
          <w:color w:val="auto"/>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kern w:val="2"/>
          <w:sz w:val="32"/>
          <w:szCs w:val="32"/>
          <w:highlight w:val="none"/>
          <w:lang w:val="en-US" w:eastAsia="zh-CN" w:bidi="ar-SA"/>
        </w:rPr>
        <w:t>3</w:t>
      </w:r>
      <w:r>
        <w:rPr>
          <w:rFonts w:hint="default" w:ascii="仿宋_GB2312" w:hAnsi="Times New Roman" w:eastAsia="仿宋_GB2312" w:cs="Times New Roman"/>
          <w:color w:val="auto"/>
          <w:kern w:val="2"/>
          <w:sz w:val="32"/>
          <w:szCs w:val="32"/>
          <w:highlight w:val="none"/>
          <w:lang w:val="zh-CN" w:eastAsia="zh-CN" w:bidi="ar-SA"/>
        </w:rPr>
        <w:t>.城乡社区支出（类）</w:t>
      </w:r>
      <w:r>
        <w:rPr>
          <w:rFonts w:hint="eastAsia" w:ascii="仿宋_GB2312" w:hAnsi="Times New Roman" w:eastAsia="仿宋_GB2312" w:cs="Times New Roman"/>
          <w:color w:val="auto"/>
          <w:kern w:val="2"/>
          <w:sz w:val="32"/>
          <w:szCs w:val="32"/>
          <w:highlight w:val="none"/>
          <w:lang w:val="zh-CN" w:eastAsia="zh-CN" w:bidi="ar-SA"/>
        </w:rPr>
        <w:t>84.56</w:t>
      </w:r>
      <w:r>
        <w:rPr>
          <w:rFonts w:hint="default" w:ascii="仿宋_GB2312" w:hAnsi="Times New Roman" w:eastAsia="仿宋_GB2312" w:cs="Times New Roman"/>
          <w:color w:val="auto"/>
          <w:kern w:val="2"/>
          <w:sz w:val="32"/>
          <w:szCs w:val="32"/>
          <w:highlight w:val="none"/>
          <w:lang w:val="zh-CN" w:eastAsia="zh-CN" w:bidi="ar-SA"/>
        </w:rPr>
        <w:t xml:space="preserve">万元，占 </w:t>
      </w:r>
      <w:r>
        <w:rPr>
          <w:rFonts w:hint="eastAsia" w:ascii="仿宋_GB2312" w:hAnsi="Times New Roman" w:eastAsia="仿宋_GB2312" w:cs="Times New Roman"/>
          <w:color w:val="auto"/>
          <w:kern w:val="2"/>
          <w:sz w:val="32"/>
          <w:szCs w:val="32"/>
          <w:highlight w:val="none"/>
          <w:lang w:val="zh-CN" w:eastAsia="zh-CN" w:bidi="ar-SA"/>
        </w:rPr>
        <w:t>79.00</w:t>
      </w:r>
      <w:r>
        <w:rPr>
          <w:rFonts w:hint="default" w:ascii="仿宋_GB2312" w:hAnsi="Times New Roman" w:eastAsia="仿宋_GB2312" w:cs="Times New Roman"/>
          <w:color w:val="auto"/>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kern w:val="2"/>
          <w:sz w:val="32"/>
          <w:szCs w:val="32"/>
          <w:highlight w:val="none"/>
          <w:lang w:val="en-US" w:eastAsia="zh-CN" w:bidi="ar-SA"/>
        </w:rPr>
        <w:t>4</w:t>
      </w:r>
      <w:r>
        <w:rPr>
          <w:rFonts w:hint="default" w:ascii="仿宋_GB2312" w:hAnsi="Times New Roman" w:eastAsia="仿宋_GB2312" w:cs="Times New Roman"/>
          <w:color w:val="auto"/>
          <w:kern w:val="2"/>
          <w:sz w:val="32"/>
          <w:szCs w:val="32"/>
          <w:highlight w:val="none"/>
          <w:lang w:val="zh-CN" w:eastAsia="zh-CN" w:bidi="ar-SA"/>
        </w:rPr>
        <w:t>.住房保障支出（类）</w:t>
      </w:r>
      <w:r>
        <w:rPr>
          <w:rFonts w:hint="eastAsia" w:ascii="仿宋_GB2312" w:hAnsi="Times New Roman" w:eastAsia="仿宋_GB2312" w:cs="Times New Roman"/>
          <w:color w:val="auto"/>
          <w:kern w:val="2"/>
          <w:sz w:val="32"/>
          <w:szCs w:val="32"/>
          <w:highlight w:val="none"/>
          <w:lang w:val="zh-CN" w:eastAsia="zh-CN" w:bidi="ar-SA"/>
        </w:rPr>
        <w:t>7.81</w:t>
      </w:r>
      <w:r>
        <w:rPr>
          <w:rFonts w:hint="default" w:ascii="仿宋_GB2312" w:hAnsi="Times New Roman" w:eastAsia="仿宋_GB2312" w:cs="Times New Roman"/>
          <w:color w:val="auto"/>
          <w:kern w:val="2"/>
          <w:sz w:val="32"/>
          <w:szCs w:val="32"/>
          <w:highlight w:val="none"/>
          <w:lang w:val="zh-CN" w:eastAsia="zh-CN" w:bidi="ar-SA"/>
        </w:rPr>
        <w:t>万元，占</w:t>
      </w:r>
      <w:r>
        <w:rPr>
          <w:rFonts w:hint="eastAsia" w:ascii="仿宋_GB2312" w:hAnsi="Times New Roman" w:eastAsia="仿宋_GB2312" w:cs="Times New Roman"/>
          <w:color w:val="auto"/>
          <w:kern w:val="2"/>
          <w:sz w:val="32"/>
          <w:szCs w:val="32"/>
          <w:highlight w:val="none"/>
          <w:lang w:val="zh-CN" w:eastAsia="zh-CN" w:bidi="ar-SA"/>
        </w:rPr>
        <w:t>7.30</w:t>
      </w:r>
      <w:r>
        <w:rPr>
          <w:rFonts w:hint="default" w:ascii="仿宋_GB2312" w:hAnsi="Times New Roman" w:eastAsia="仿宋_GB2312" w:cs="Times New Roman"/>
          <w:color w:val="auto"/>
          <w:kern w:val="2"/>
          <w:sz w:val="32"/>
          <w:szCs w:val="32"/>
          <w:highlight w:val="none"/>
          <w:lang w:val="zh-CN" w:eastAsia="zh-CN" w:bidi="ar-SA"/>
        </w:rPr>
        <w:t>%</w:t>
      </w:r>
      <w:r>
        <w:rPr>
          <w:rFonts w:hint="eastAsia" w:ascii="仿宋_GB2312"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kern w:val="2"/>
          <w:sz w:val="32"/>
          <w:szCs w:val="32"/>
          <w:highlight w:val="none"/>
          <w:lang w:val="en-US" w:eastAsia="zh-CN" w:bidi="ar-SA"/>
        </w:rPr>
        <w:t>1.卫生健康支出（类）行政事业单位医疗（款）事业单位医疗（项）:支出决算数为4.49万元，比上年决算增加0.35万元，增长8.45%，主要原因是：本年</w:t>
      </w:r>
      <w:r>
        <w:rPr>
          <w:rFonts w:hint="eastAsia" w:ascii="仿宋_GB2312" w:hAnsi="Times New Roman" w:eastAsia="仿宋_GB2312" w:cs="Times New Roman"/>
          <w:color w:val="auto"/>
          <w:kern w:val="2"/>
          <w:sz w:val="32"/>
          <w:szCs w:val="32"/>
          <w:highlight w:val="none"/>
          <w:lang w:val="zh-CN" w:eastAsia="zh-CN" w:bidi="ar-SA"/>
        </w:rPr>
        <w:t>医保缴费基数增长。</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kern w:val="2"/>
          <w:sz w:val="32"/>
          <w:szCs w:val="32"/>
          <w:highlight w:val="none"/>
          <w:lang w:val="en-US" w:eastAsia="zh-CN" w:bidi="ar-SA"/>
        </w:rPr>
        <w:t>2.住房保障支出（类）住房改革支出（款）住房公积金（项）:支出决算数为7.81万元，比上年决算增加0.80万元，增长11.41%，主要原因是：本年</w:t>
      </w:r>
      <w:r>
        <w:rPr>
          <w:rFonts w:hint="eastAsia" w:ascii="仿宋_GB2312" w:hAnsi="Times New Roman" w:eastAsia="仿宋_GB2312" w:cs="Times New Roman"/>
          <w:color w:val="auto"/>
          <w:kern w:val="2"/>
          <w:sz w:val="32"/>
          <w:szCs w:val="32"/>
          <w:highlight w:val="none"/>
          <w:lang w:val="zh-CN" w:eastAsia="zh-CN" w:bidi="ar-SA"/>
        </w:rPr>
        <w:t>公积金缴费基数增长。</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kern w:val="2"/>
          <w:sz w:val="32"/>
          <w:szCs w:val="32"/>
          <w:highlight w:val="none"/>
          <w:lang w:val="en-US" w:eastAsia="zh-CN" w:bidi="ar-SA"/>
        </w:rPr>
        <w:t>3.城乡社区支出（类）城乡社区规划与管理（款）城乡社区规划与管理（项）:支出决算数为84.56万元，比上年决算增加5.00万元，增长6.28%，主要原因是：</w:t>
      </w:r>
      <w:r>
        <w:rPr>
          <w:rFonts w:hint="eastAsia" w:ascii="仿宋_GB2312" w:hAnsi="Times New Roman" w:eastAsia="仿宋_GB2312" w:cs="Times New Roman"/>
          <w:color w:val="auto"/>
          <w:kern w:val="2"/>
          <w:sz w:val="32"/>
          <w:szCs w:val="32"/>
          <w:highlight w:val="none"/>
          <w:lang w:val="zh-CN" w:eastAsia="zh-CN" w:bidi="ar-SA"/>
        </w:rPr>
        <w:t>202</w:t>
      </w:r>
      <w:r>
        <w:rPr>
          <w:rFonts w:hint="eastAsia" w:ascii="仿宋_GB2312" w:hAnsi="Times New Roman" w:eastAsia="仿宋_GB2312" w:cs="Times New Roman"/>
          <w:color w:val="auto"/>
          <w:kern w:val="2"/>
          <w:sz w:val="32"/>
          <w:szCs w:val="32"/>
          <w:highlight w:val="none"/>
          <w:lang w:val="en-US" w:eastAsia="zh-CN" w:bidi="ar-SA"/>
        </w:rPr>
        <w:t>3</w:t>
      </w:r>
      <w:r>
        <w:rPr>
          <w:rFonts w:hint="eastAsia" w:ascii="仿宋_GB2312" w:hAnsi="Times New Roman" w:eastAsia="仿宋_GB2312" w:cs="Times New Roman"/>
          <w:color w:val="auto"/>
          <w:kern w:val="2"/>
          <w:sz w:val="32"/>
          <w:szCs w:val="32"/>
          <w:highlight w:val="none"/>
          <w:lang w:val="zh-CN" w:eastAsia="zh-CN" w:bidi="ar-SA"/>
        </w:rPr>
        <w:t>年在职人员普调增资；</w:t>
      </w:r>
      <w:r>
        <w:rPr>
          <w:rFonts w:hint="eastAsia" w:ascii="仿宋_GB2312" w:hAnsi="Times New Roman" w:eastAsia="仿宋_GB2312" w:cs="Times New Roman"/>
          <w:color w:val="auto"/>
          <w:kern w:val="2"/>
          <w:sz w:val="32"/>
          <w:szCs w:val="32"/>
          <w:highlight w:val="none"/>
          <w:lang w:val="en-US" w:eastAsia="zh-CN" w:bidi="ar-SA"/>
        </w:rPr>
        <w:t>其他社会保障</w:t>
      </w:r>
      <w:r>
        <w:rPr>
          <w:rFonts w:hint="eastAsia" w:ascii="仿宋_GB2312" w:hAnsi="Times New Roman" w:eastAsia="仿宋_GB2312" w:cs="Times New Roman"/>
          <w:color w:val="auto"/>
          <w:kern w:val="2"/>
          <w:sz w:val="32"/>
          <w:szCs w:val="32"/>
          <w:highlight w:val="none"/>
          <w:lang w:val="zh-CN" w:eastAsia="zh-CN" w:bidi="ar-SA"/>
        </w:rPr>
        <w:t>缴费基数增长；其他商品和服务支出比上年增加。</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eastAsia"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kern w:val="2"/>
          <w:sz w:val="32"/>
          <w:szCs w:val="32"/>
          <w:highlight w:val="none"/>
          <w:lang w:val="en-US" w:eastAsia="zh-CN" w:bidi="ar-SA"/>
        </w:rPr>
        <w:t>4.社会保障和就业支出（类）行政事业单位养老支出（款）机关事业单位基本养老保险缴费支出（项）:支出决算数为10.18万元，比上年决算增加2.02万元，增长24.75%，主要原因是：本年</w:t>
      </w:r>
      <w:r>
        <w:rPr>
          <w:rFonts w:hint="eastAsia" w:ascii="仿宋_GB2312" w:hAnsi="Times New Roman" w:eastAsia="仿宋_GB2312" w:cs="Times New Roman"/>
          <w:color w:val="auto"/>
          <w:kern w:val="2"/>
          <w:sz w:val="32"/>
          <w:szCs w:val="32"/>
          <w:highlight w:val="none"/>
          <w:lang w:val="zh-CN" w:eastAsia="zh-CN" w:bidi="ar-SA"/>
        </w:rPr>
        <w:t>养老保险缴费基数增长。</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107.04</w:t>
      </w:r>
      <w:r>
        <w:rPr>
          <w:rFonts w:hint="eastAsia" w:ascii="仿宋_GB2312" w:eastAsia="仿宋_GB2312"/>
          <w:color w:val="auto"/>
          <w:sz w:val="32"/>
          <w:szCs w:val="32"/>
          <w:highlight w:val="none"/>
        </w:rPr>
        <w:t>万元，其中：</w:t>
      </w:r>
      <w:r>
        <w:rPr>
          <w:rFonts w:hint="eastAsia" w:ascii="仿宋_GB2312" w:hAnsi="Times New Roman" w:eastAsia="仿宋_GB2312" w:cs="Times New Roman"/>
          <w:b/>
          <w:bCs/>
          <w:spacing w:val="0"/>
          <w:sz w:val="32"/>
          <w:szCs w:val="32"/>
          <w:highlight w:val="none"/>
          <w:lang w:val="zh-CN" w:eastAsia="zh-CN"/>
        </w:rPr>
        <w:t>人员经费101.75万元，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基本工资、津贴补贴、奖金、绩效工资、机关事业单位基本养老保险缴费、职工基本医疗保险缴费、其他社会保障缴费、住房公积金。</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z w:val="32"/>
          <w:szCs w:val="32"/>
          <w:highlight w:val="red"/>
          <w:lang w:val="en-US" w:eastAsia="zh-CN"/>
        </w:rPr>
      </w:pPr>
      <w:r>
        <w:rPr>
          <w:rFonts w:hint="eastAsia" w:ascii="仿宋_GB2312" w:hAnsi="Times New Roman" w:eastAsia="仿宋_GB2312" w:cs="Times New Roman"/>
          <w:b/>
          <w:bCs/>
          <w:spacing w:val="0"/>
          <w:sz w:val="32"/>
          <w:szCs w:val="32"/>
          <w:highlight w:val="none"/>
          <w:lang w:val="zh-CN" w:eastAsia="zh-CN"/>
        </w:rPr>
        <w:t>公用经费5.29万元，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办公费、邮电费、取暖费、差旅费、劳务费、工会经费、公务用车运行维护费、其他商品和服务支出。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hAnsi="Times New Roman" w:eastAsia="仿宋_GB2312" w:cs="Times New Roman"/>
          <w:b/>
          <w:bCs/>
          <w:spacing w:val="0"/>
          <w:sz w:val="32"/>
          <w:szCs w:val="32"/>
          <w:highlight w:val="none"/>
          <w:lang w:val="zh-CN" w:eastAsia="zh-CN"/>
        </w:rPr>
        <w:t>2023年度</w:t>
      </w:r>
      <w:r>
        <w:rPr>
          <w:rFonts w:hint="eastAsia" w:ascii="仿宋_GB2312" w:hAnsi="Times New Roman" w:eastAsia="仿宋_GB2312" w:cs="Times New Roman"/>
          <w:b/>
          <w:bCs/>
          <w:spacing w:val="0"/>
          <w:sz w:val="32"/>
          <w:szCs w:val="32"/>
          <w:highlight w:val="none"/>
          <w:lang w:val="en-US" w:eastAsia="zh-CN"/>
        </w:rPr>
        <w:t>财政拨款</w:t>
      </w:r>
      <w:r>
        <w:rPr>
          <w:rFonts w:hint="eastAsia" w:ascii="仿宋_GB2312" w:hAnsi="Times New Roman" w:eastAsia="仿宋_GB2312" w:cs="Times New Roman"/>
          <w:b/>
          <w:bCs/>
          <w:spacing w:val="0"/>
          <w:sz w:val="32"/>
          <w:szCs w:val="32"/>
          <w:highlight w:val="none"/>
          <w:lang w:val="zh-CN" w:eastAsia="zh-CN"/>
        </w:rPr>
        <w:t>“三公”经费支出0.55万元，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减少0.01万元，下降</w:t>
      </w:r>
      <w:r>
        <w:rPr>
          <w:rFonts w:hint="eastAsia" w:ascii="仿宋_GB2312" w:eastAsia="仿宋_GB2312"/>
          <w:color w:val="auto"/>
          <w:sz w:val="32"/>
          <w:szCs w:val="32"/>
          <w:highlight w:val="none"/>
          <w:lang w:val="en-US" w:eastAsia="zh-CN"/>
        </w:rPr>
        <w:t>1.79</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本年度本单位厉行节约，压缩“三公”经费支出，因此支出减少</w:t>
      </w:r>
      <w:r>
        <w:rPr>
          <w:rFonts w:hint="eastAsia" w:ascii="仿宋_GB2312" w:eastAsia="仿宋_GB2312"/>
          <w:color w:val="auto"/>
          <w:sz w:val="32"/>
          <w:szCs w:val="32"/>
          <w:highlight w:val="none"/>
          <w:lang w:val="zh-CN" w:eastAsia="zh-CN"/>
        </w:rPr>
        <w:t>。其中：因公出国（境）费支出0.00万元，占0.00%，比上年增加0.00万元，增长0.00%，主要原因是：</w:t>
      </w:r>
      <w:r>
        <w:rPr>
          <w:rFonts w:hint="eastAsia" w:ascii="仿宋_GB2312" w:eastAsia="仿宋_GB2312"/>
          <w:color w:val="auto"/>
          <w:sz w:val="32"/>
          <w:szCs w:val="32"/>
          <w:highlight w:val="none"/>
          <w:lang w:val="en-US" w:eastAsia="zh-CN"/>
        </w:rPr>
        <w:t>我单位无因公出国（境）费支出</w:t>
      </w:r>
      <w:r>
        <w:rPr>
          <w:rFonts w:hint="eastAsia" w:ascii="仿宋_GB2312" w:eastAsia="仿宋_GB2312"/>
          <w:color w:val="auto"/>
          <w:sz w:val="32"/>
          <w:szCs w:val="32"/>
          <w:highlight w:val="none"/>
          <w:lang w:val="zh-CN" w:eastAsia="zh-CN"/>
        </w:rPr>
        <w:t>；公务用车购置及运行维护费支出0.55万元，占100.00%，比上年减少0.01万元，下降</w:t>
      </w:r>
      <w:r>
        <w:rPr>
          <w:rFonts w:hint="eastAsia" w:ascii="仿宋_GB2312" w:eastAsia="仿宋_GB2312"/>
          <w:color w:val="auto"/>
          <w:sz w:val="32"/>
          <w:szCs w:val="32"/>
          <w:highlight w:val="none"/>
          <w:lang w:val="en-US" w:eastAsia="zh-CN"/>
        </w:rPr>
        <w:t>1.79</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压缩公务用车运行维护费支出</w:t>
      </w:r>
      <w:r>
        <w:rPr>
          <w:rFonts w:hint="eastAsia" w:ascii="仿宋_GB2312" w:eastAsia="仿宋_GB2312"/>
          <w:color w:val="auto"/>
          <w:sz w:val="32"/>
          <w:szCs w:val="32"/>
          <w:highlight w:val="none"/>
          <w:lang w:val="zh-CN" w:eastAsia="zh-CN"/>
        </w:rPr>
        <w:t>；公务接待费支出0.00万元，占0.00%，比上年增加0.00万元，增长0.00%，主要原因是：</w:t>
      </w:r>
      <w:r>
        <w:rPr>
          <w:rFonts w:hint="eastAsia" w:ascii="仿宋_GB2312" w:eastAsia="仿宋_GB2312"/>
          <w:color w:val="auto"/>
          <w:sz w:val="32"/>
          <w:szCs w:val="32"/>
          <w:highlight w:val="none"/>
          <w:lang w:val="en-US" w:eastAsia="zh-CN"/>
        </w:rPr>
        <w:t>我单位无公务接待费支出</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Times New Roman" w:eastAsia="仿宋_GB2312" w:cs="Times New Roman"/>
          <w:b/>
          <w:bCs/>
          <w:spacing w:val="0"/>
          <w:sz w:val="32"/>
          <w:szCs w:val="32"/>
          <w:highlight w:val="none"/>
          <w:lang w:val="zh-CN" w:eastAsia="zh-CN"/>
        </w:rPr>
      </w:pPr>
      <w:r>
        <w:rPr>
          <w:rFonts w:hint="eastAsia" w:ascii="仿宋_GB2312" w:hAnsi="Times New Roman" w:eastAsia="仿宋_GB2312" w:cs="Times New Roman"/>
          <w:b/>
          <w:bCs/>
          <w:spacing w:val="0"/>
          <w:sz w:val="32"/>
          <w:szCs w:val="32"/>
          <w:highlight w:val="none"/>
          <w:lang w:val="zh-CN" w:eastAsia="zh-CN"/>
        </w:rPr>
        <w:t>具体情况如下：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因公出国（境）费支出0.00万元，无此项开支内容。单位全年安排的因公出国（境）团组0个，因公出国（境）0人次。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0.55万元，其中：公务用车购置费0.00万元，公务用车运行维护费0.55万元。公务用车运行维护费开支内容包括公车车辆保险、维修维护支出。公务用车购置数0辆，公务用车保有量1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1辆，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保有量无差异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公务接待费0.00万元，开支内容包括我单位无公务接待费。单位全年安排的国内公务接待0批次，0人次。</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hAnsi="Times New Roman" w:eastAsia="仿宋_GB2312" w:cs="Times New Roman"/>
          <w:b/>
          <w:bCs/>
          <w:spacing w:val="0"/>
          <w:sz w:val="32"/>
          <w:szCs w:val="32"/>
          <w:highlight w:val="none"/>
          <w:lang w:val="zh-CN" w:eastAsia="zh-CN"/>
        </w:rPr>
        <w:t>与</w:t>
      </w:r>
      <w:r>
        <w:rPr>
          <w:rFonts w:hint="eastAsia" w:ascii="仿宋_GB2312" w:hAnsi="Times New Roman" w:eastAsia="仿宋_GB2312" w:cs="Times New Roman"/>
          <w:b/>
          <w:bCs/>
          <w:spacing w:val="0"/>
          <w:sz w:val="32"/>
          <w:szCs w:val="32"/>
          <w:highlight w:val="none"/>
          <w:lang w:val="en-US" w:eastAsia="zh-CN"/>
        </w:rPr>
        <w:t>全年</w:t>
      </w:r>
      <w:r>
        <w:rPr>
          <w:rFonts w:hint="eastAsia" w:ascii="仿宋_GB2312" w:hAnsi="Times New Roman" w:eastAsia="仿宋_GB2312" w:cs="Times New Roman"/>
          <w:b/>
          <w:bCs/>
          <w:spacing w:val="0"/>
          <w:sz w:val="32"/>
          <w:szCs w:val="32"/>
          <w:highlight w:val="none"/>
          <w:lang w:val="zh-CN" w:eastAsia="zh-CN"/>
        </w:rPr>
        <w:t>预算相比</w:t>
      </w:r>
      <w:r>
        <w:rPr>
          <w:rFonts w:hint="eastAsia" w:ascii="仿宋_GB2312" w:hAnsi="Times New Roman" w:eastAsia="仿宋_GB2312" w:cs="Times New Roman"/>
          <w:b/>
          <w:bCs/>
          <w:spacing w:val="0"/>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预算数0.55万元，决算数0.55万元，预决算差异率0.00%，主要原因是：无差异。其中：因公出国（境）费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0.00万元，决算数0.00万元，预决算差异率0.00%，主要原因是：无差异；公务用车购置费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预算数0.00万元，决算数0.00万元，预决算差异率0.00%，主要原因是：无差异；公务用车运行费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预算数0.55万元，决算数0.55万元，预决算差异率0.00%，主要原因是：无差异；公务接待费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预算数0.00万元，决算数0.00万元，预决算差异率0.00%，主要原因是：无差异。</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val="zh-CN"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val="zh-CN" w:eastAsia="zh-CN"/>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val="zh-CN"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val="zh-CN" w:eastAsia="zh-CN"/>
        </w:rPr>
        <w:t>，国有资本经营预算财政拨款收入支出决算表为空表。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bookmarkStart w:id="24" w:name="_Toc227"/>
      <w:bookmarkStart w:id="25" w:name="_Toc26704"/>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裕民县国有土地上房屋征收与补偿服务中心</w:t>
      </w:r>
      <w:r>
        <w:rPr>
          <w:rFonts w:hint="eastAsia" w:ascii="仿宋_GB2312" w:eastAsia="仿宋_GB2312"/>
          <w:color w:val="auto"/>
          <w:sz w:val="32"/>
          <w:szCs w:val="32"/>
          <w:highlight w:val="none"/>
          <w:lang w:val="zh-CN" w:eastAsia="zh-CN"/>
        </w:rPr>
        <w:t>（事业单位）公用经费支出5.29万元，比上年增加1.57万元，增长42.2</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val="zh-CN" w:eastAsia="zh-CN"/>
        </w:rPr>
        <w:t>%，主要原因是：202</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val="zh-CN" w:eastAsia="zh-CN"/>
        </w:rPr>
        <w:t>年在职人员普调增资因此工会经费增长；其他商品和服务支出比上年增加。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2023年度政府采购支出总额1.09万元，其中：政府采购货物支出0.56万元、政府采购工程支出0.00万元、政府采购服务支出0.53万元。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授予中小企业合同金额1.09万元，占政府采购支出总额的100.00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zh-CN" w:eastAsia="zh-CN"/>
        </w:rPr>
        <w:t>，其中：授予小微企业合同金额1.09万元，占政府采购支出总额的100.00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en-US" w:eastAsia="zh-CN"/>
        </w:rPr>
        <w:t>截至2023</w:t>
      </w:r>
      <w:r>
        <w:rPr>
          <w:rFonts w:hint="eastAsia" w:ascii="仿宋_GB2312" w:eastAsia="仿宋_GB2312"/>
          <w:color w:val="auto"/>
          <w:sz w:val="32"/>
          <w:szCs w:val="32"/>
          <w:highlight w:val="none"/>
          <w:lang w:val="zh-CN" w:eastAsia="zh-CN"/>
        </w:rPr>
        <w:t>年</w:t>
      </w:r>
      <w:r>
        <w:rPr>
          <w:rFonts w:hint="eastAsia" w:ascii="仿宋_GB2312" w:eastAsia="仿宋_GB2312"/>
          <w:color w:val="auto"/>
          <w:sz w:val="32"/>
          <w:szCs w:val="32"/>
          <w:highlight w:val="none"/>
          <w:lang w:val="en-US" w:eastAsia="zh-CN"/>
        </w:rPr>
        <w:t>12月31日</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固定资产原值</w:t>
      </w:r>
      <w:r>
        <w:rPr>
          <w:rFonts w:hint="eastAsia" w:ascii="仿宋_GB2312" w:eastAsia="仿宋_GB2312"/>
          <w:color w:val="auto"/>
          <w:sz w:val="32"/>
          <w:szCs w:val="32"/>
          <w:highlight w:val="none"/>
          <w:lang w:val="zh-CN" w:eastAsia="zh-CN"/>
        </w:rPr>
        <w:t>19.82</w:t>
      </w:r>
      <w:r>
        <w:rPr>
          <w:rFonts w:hint="eastAsia" w:ascii="仿宋_GB2312" w:eastAsia="仿宋_GB2312"/>
          <w:color w:val="auto"/>
          <w:sz w:val="32"/>
          <w:szCs w:val="32"/>
          <w:highlight w:val="none"/>
          <w:lang w:val="en-US" w:eastAsia="zh-CN"/>
        </w:rPr>
        <w:t>万元，房</w:t>
      </w:r>
      <w:r>
        <w:rPr>
          <w:rFonts w:hint="eastAsia" w:ascii="仿宋_GB2312" w:eastAsia="仿宋_GB2312"/>
          <w:color w:val="auto"/>
          <w:sz w:val="32"/>
          <w:szCs w:val="32"/>
          <w:highlight w:val="none"/>
          <w:lang w:val="zh-CN" w:eastAsia="zh-CN"/>
        </w:rPr>
        <w:t>屋0.0平方米，价值0.00万元。车辆1辆，价值6.15万元，其中：副部（省）级及以上领导用车0辆、主要</w:t>
      </w:r>
      <w:r>
        <w:rPr>
          <w:rFonts w:hint="eastAsia" w:ascii="仿宋_GB2312" w:eastAsia="仿宋_GB2312"/>
          <w:color w:val="auto"/>
          <w:sz w:val="32"/>
          <w:szCs w:val="32"/>
          <w:highlight w:val="none"/>
          <w:lang w:val="en-US" w:eastAsia="zh-CN"/>
        </w:rPr>
        <w:t>负责人</w:t>
      </w:r>
      <w:r>
        <w:rPr>
          <w:rFonts w:hint="eastAsia" w:ascii="仿宋_GB2312" w:eastAsia="仿宋_GB2312"/>
          <w:color w:val="auto"/>
          <w:sz w:val="32"/>
          <w:szCs w:val="32"/>
          <w:highlight w:val="none"/>
          <w:lang w:val="zh-CN" w:eastAsia="zh-CN"/>
        </w:rPr>
        <w:t>用车0辆、机要通信用车0辆、应急保障用车0辆、执法执勤用车0辆、特种专业技术用车0辆、离退休干部</w:t>
      </w:r>
      <w:r>
        <w:rPr>
          <w:rFonts w:hint="eastAsia" w:ascii="仿宋_GB2312" w:eastAsia="仿宋_GB2312"/>
          <w:color w:val="auto"/>
          <w:sz w:val="32"/>
          <w:szCs w:val="32"/>
          <w:highlight w:val="none"/>
          <w:lang w:val="en-US" w:eastAsia="zh-CN"/>
        </w:rPr>
        <w:t>服务</w:t>
      </w:r>
      <w:r>
        <w:rPr>
          <w:rFonts w:hint="eastAsia" w:ascii="仿宋_GB2312" w:eastAsia="仿宋_GB2312"/>
          <w:color w:val="auto"/>
          <w:sz w:val="32"/>
          <w:szCs w:val="32"/>
          <w:highlight w:val="none"/>
          <w:lang w:val="zh-CN" w:eastAsia="zh-CN"/>
        </w:rPr>
        <w:t>用车0辆、其他用车1辆，其他用车主要是：用于日常开展征补项目片区入户等工作；单价100万元（含）以上设备（不含车辆）0</w:t>
      </w:r>
      <w:r>
        <w:rPr>
          <w:rFonts w:hint="eastAsia" w:ascii="仿宋_GB2312" w:eastAsia="仿宋_GB2312"/>
          <w:color w:val="auto"/>
          <w:sz w:val="32"/>
          <w:szCs w:val="32"/>
          <w:highlight w:val="none"/>
          <w:lang w:val="en-US" w:eastAsia="zh-CN"/>
        </w:rPr>
        <w:t>台（</w:t>
      </w:r>
      <w:r>
        <w:rPr>
          <w:rFonts w:hint="eastAsia" w:ascii="仿宋_GB2312" w:eastAsia="仿宋_GB2312"/>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根据预算绩效管理要求，我单位2023年度预算绩效管理整体支出绩效自评表1个，全年预算总额107.04万元，实际执行总额107.04万元；预算绩效评价项目0个，全年预算数0.00万元，全年执行数0.00</w:t>
      </w:r>
      <w:bookmarkStart w:id="48" w:name="_GoBack"/>
      <w:bookmarkEnd w:id="48"/>
      <w:r>
        <w:rPr>
          <w:rFonts w:hint="eastAsia" w:ascii="仿宋_GB2312" w:eastAsia="仿宋_GB2312"/>
          <w:color w:val="auto"/>
          <w:sz w:val="32"/>
          <w:szCs w:val="32"/>
          <w:highlight w:val="none"/>
          <w:lang w:val="en-US" w:eastAsia="zh-CN"/>
        </w:rPr>
        <w:t>万元。预算绩效管理取得的成效：一是本单位严格遵照财务管理办法，扎实做好年初预算工作，履行财务管理制度，做好财务支付等各项工作；二是在年底中时刻保持财务审核管理请示制度，落实三重一大的财务支付制度，保持管理有序、收支清晰。发现的问题及原因：一是年初预算与年终决算有差距；二是财务工作人员业务水平需继续提升。下一步改进措施：一是加强业务人员的培训和学习，不断提升业务能力和水平；二是加强年初预算的前瞻性，做好年初规划和年度管理工作。具体项目自评情况附绩效自评表及自评报告。</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本单位无其他说明的事项</w:t>
      </w:r>
      <w:r>
        <w:rPr>
          <w:rFonts w:hint="eastAsia" w:ascii="仿宋_GB2312" w:hAnsi="仿宋_GB2312" w:eastAsia="仿宋_GB2312" w:cs="仿宋_GB2312"/>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hYjIwYTFkMDUyN2RmOGI2OTNiMWRjYmY5MjBlYTU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E05CE8"/>
    <w:rsid w:val="03F973EE"/>
    <w:rsid w:val="043E5B56"/>
    <w:rsid w:val="04711FF9"/>
    <w:rsid w:val="04C04386"/>
    <w:rsid w:val="04FA68C4"/>
    <w:rsid w:val="053F5AE6"/>
    <w:rsid w:val="055810EA"/>
    <w:rsid w:val="057C0B0F"/>
    <w:rsid w:val="05EF4B48"/>
    <w:rsid w:val="05F76ECA"/>
    <w:rsid w:val="06792773"/>
    <w:rsid w:val="07093795"/>
    <w:rsid w:val="07804730"/>
    <w:rsid w:val="079052BE"/>
    <w:rsid w:val="08145C21"/>
    <w:rsid w:val="08422688"/>
    <w:rsid w:val="085854ED"/>
    <w:rsid w:val="0879188F"/>
    <w:rsid w:val="08A0354D"/>
    <w:rsid w:val="08CD4C49"/>
    <w:rsid w:val="09114954"/>
    <w:rsid w:val="09453399"/>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0A004B"/>
    <w:rsid w:val="0F1113DA"/>
    <w:rsid w:val="0F78534A"/>
    <w:rsid w:val="0F89358A"/>
    <w:rsid w:val="0F8C6D51"/>
    <w:rsid w:val="105B0B5E"/>
    <w:rsid w:val="10967DE9"/>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A570A0"/>
    <w:rsid w:val="19D26CD4"/>
    <w:rsid w:val="19E60D19"/>
    <w:rsid w:val="1A3E3450"/>
    <w:rsid w:val="1AD807E5"/>
    <w:rsid w:val="1B39345B"/>
    <w:rsid w:val="1BFB2A1F"/>
    <w:rsid w:val="1C015D4A"/>
    <w:rsid w:val="1C026C93"/>
    <w:rsid w:val="1C290ED5"/>
    <w:rsid w:val="1C317E4F"/>
    <w:rsid w:val="1C472464"/>
    <w:rsid w:val="1D22799A"/>
    <w:rsid w:val="1D5C1A72"/>
    <w:rsid w:val="1DAF458D"/>
    <w:rsid w:val="1DF57F8A"/>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4D43091"/>
    <w:rsid w:val="25292727"/>
    <w:rsid w:val="252E5CA9"/>
    <w:rsid w:val="256F7692"/>
    <w:rsid w:val="25B16650"/>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E85AB8"/>
    <w:rsid w:val="2AF5378F"/>
    <w:rsid w:val="2BB94DBF"/>
    <w:rsid w:val="2C6F314E"/>
    <w:rsid w:val="2CC206BE"/>
    <w:rsid w:val="2D1136DF"/>
    <w:rsid w:val="2D2009D8"/>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254ADC"/>
    <w:rsid w:val="343642F2"/>
    <w:rsid w:val="343F3010"/>
    <w:rsid w:val="345D0A00"/>
    <w:rsid w:val="34713BFD"/>
    <w:rsid w:val="34C13589"/>
    <w:rsid w:val="353369E3"/>
    <w:rsid w:val="35E00D72"/>
    <w:rsid w:val="36965B9D"/>
    <w:rsid w:val="36C549FD"/>
    <w:rsid w:val="37702892"/>
    <w:rsid w:val="37A755DD"/>
    <w:rsid w:val="37F94FA0"/>
    <w:rsid w:val="380D3381"/>
    <w:rsid w:val="38115B1F"/>
    <w:rsid w:val="385E3AC3"/>
    <w:rsid w:val="387D6B9E"/>
    <w:rsid w:val="38B75FF0"/>
    <w:rsid w:val="38D45016"/>
    <w:rsid w:val="38D90432"/>
    <w:rsid w:val="3914510A"/>
    <w:rsid w:val="3926770B"/>
    <w:rsid w:val="398D3668"/>
    <w:rsid w:val="39D011C4"/>
    <w:rsid w:val="39DA0497"/>
    <w:rsid w:val="3A893816"/>
    <w:rsid w:val="3A893B6D"/>
    <w:rsid w:val="3AD1763A"/>
    <w:rsid w:val="3B6716E3"/>
    <w:rsid w:val="3B6C6B2D"/>
    <w:rsid w:val="3C242659"/>
    <w:rsid w:val="3C5F0F90"/>
    <w:rsid w:val="3C96719C"/>
    <w:rsid w:val="3CA72BE8"/>
    <w:rsid w:val="3CF37F8C"/>
    <w:rsid w:val="3D137554"/>
    <w:rsid w:val="3D5275AC"/>
    <w:rsid w:val="3D61090B"/>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0D73004"/>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45852"/>
    <w:rsid w:val="4A0A26D2"/>
    <w:rsid w:val="4A2019A5"/>
    <w:rsid w:val="4A241A0B"/>
    <w:rsid w:val="4A4756D4"/>
    <w:rsid w:val="4A7B2875"/>
    <w:rsid w:val="4A934476"/>
    <w:rsid w:val="4AAA220A"/>
    <w:rsid w:val="4AE12E67"/>
    <w:rsid w:val="4B0D3999"/>
    <w:rsid w:val="4B1E71DC"/>
    <w:rsid w:val="4B4C0111"/>
    <w:rsid w:val="4B68258E"/>
    <w:rsid w:val="4B8553A9"/>
    <w:rsid w:val="4BDB3730"/>
    <w:rsid w:val="4C200F7A"/>
    <w:rsid w:val="4CEE3180"/>
    <w:rsid w:val="4D0F4AF6"/>
    <w:rsid w:val="4DDA685F"/>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1EF4F10"/>
    <w:rsid w:val="525C687F"/>
    <w:rsid w:val="52F647F7"/>
    <w:rsid w:val="52F92565"/>
    <w:rsid w:val="53D03877"/>
    <w:rsid w:val="542F73CA"/>
    <w:rsid w:val="5430786D"/>
    <w:rsid w:val="54C811C0"/>
    <w:rsid w:val="556A442D"/>
    <w:rsid w:val="55B14D23"/>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97F4F01"/>
    <w:rsid w:val="5A60780B"/>
    <w:rsid w:val="5AB34579"/>
    <w:rsid w:val="5AFC6609"/>
    <w:rsid w:val="5B113480"/>
    <w:rsid w:val="5B3931C0"/>
    <w:rsid w:val="5BD456CE"/>
    <w:rsid w:val="5C0D1F49"/>
    <w:rsid w:val="5CBB0CE2"/>
    <w:rsid w:val="5CC17177"/>
    <w:rsid w:val="5CF306BC"/>
    <w:rsid w:val="5D3F3D64"/>
    <w:rsid w:val="5D5D731B"/>
    <w:rsid w:val="5D673D80"/>
    <w:rsid w:val="5D833043"/>
    <w:rsid w:val="5DD92690"/>
    <w:rsid w:val="5DDB1CFD"/>
    <w:rsid w:val="5E7E6D93"/>
    <w:rsid w:val="5ED44800"/>
    <w:rsid w:val="5F322A13"/>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821A3B"/>
    <w:rsid w:val="63A5560B"/>
    <w:rsid w:val="63E9091F"/>
    <w:rsid w:val="64322AF9"/>
    <w:rsid w:val="64D2670F"/>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AB86777"/>
    <w:rsid w:val="6B68175F"/>
    <w:rsid w:val="6BFD799F"/>
    <w:rsid w:val="6C4A2E5A"/>
    <w:rsid w:val="6C8138D0"/>
    <w:rsid w:val="6CB737DA"/>
    <w:rsid w:val="6CEF0725"/>
    <w:rsid w:val="6D4B2604"/>
    <w:rsid w:val="6D8030E4"/>
    <w:rsid w:val="6E0E35C4"/>
    <w:rsid w:val="6E0F7A08"/>
    <w:rsid w:val="6E3947F5"/>
    <w:rsid w:val="6E9C74ED"/>
    <w:rsid w:val="6EF72976"/>
    <w:rsid w:val="6F795A80"/>
    <w:rsid w:val="6F7C1D2E"/>
    <w:rsid w:val="6F8E0407"/>
    <w:rsid w:val="6FD40856"/>
    <w:rsid w:val="6FDD069F"/>
    <w:rsid w:val="702B4D16"/>
    <w:rsid w:val="70AA6621"/>
    <w:rsid w:val="7111480F"/>
    <w:rsid w:val="71261F49"/>
    <w:rsid w:val="712D22A8"/>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480CB4"/>
    <w:rsid w:val="7C8B6DF3"/>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6" w:lineRule="auto"/>
      <w:outlineLvl w:val="2"/>
    </w:pPr>
    <w:rPr>
      <w:rFonts w:ascii="Times New Roman" w:hAnsi="Times New Roman" w:eastAsia="宋体" w:cs="Times New Roman"/>
      <w:b/>
      <w:bCs/>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5558</Words>
  <Characters>6143</Characters>
  <Lines>0</Lines>
  <Paragraphs>0</Paragraphs>
  <TotalTime>3</TotalTime>
  <ScaleCrop>false</ScaleCrop>
  <LinksUpToDate>false</LinksUpToDate>
  <CharactersWithSpaces>6154</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lenovo</cp:lastModifiedBy>
  <dcterms:modified xsi:type="dcterms:W3CDTF">2025-04-07T09:58:59Z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EAE430385B8F4B47ADDAE610490AC8D5_13</vt:lpwstr>
  </property>
</Properties>
</file>