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裕民县政务服务中心</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rPr>
        <w:t>1、贯彻县委、县政府关于行政审批制度改革的有关决定和要求，规范行政审批行为。</w:t>
      </w:r>
      <w:r>
        <w:rPr>
          <w:rFonts w:hint="eastAsia" w:ascii="仿宋_GB2312" w:eastAsia="仿宋_GB2312"/>
          <w:sz w:val="32"/>
          <w:szCs w:val="32"/>
          <w:highlight w:val="none"/>
        </w:rPr>
        <w:br w:type="textWrapping"/>
      </w:r>
      <w:r>
        <w:rPr>
          <w:rFonts w:hint="eastAsia" w:ascii="仿宋_GB2312" w:eastAsia="仿宋_GB2312"/>
          <w:sz w:val="32"/>
          <w:szCs w:val="32"/>
          <w:highlight w:val="none"/>
        </w:rPr>
        <w:t>　　2、负责制定政务服务中心运行中的各项规章制度及管理办法并组织实施。</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3、负责对进入政务服务中心的各部门（单位）行政审批项目实施过程的监督、管理和协调，组织各窗口高效、快捷、依法办理行政审批事项和证照，认真解答群众对有关问题的咨询。</w:t>
      </w:r>
      <w:r>
        <w:rPr>
          <w:rFonts w:hint="eastAsia" w:ascii="仿宋_GB2312" w:eastAsia="仿宋_GB2312"/>
          <w:sz w:val="32"/>
          <w:szCs w:val="32"/>
          <w:highlight w:val="none"/>
        </w:rPr>
        <w:br w:type="textWrapping"/>
      </w:r>
      <w:r>
        <w:rPr>
          <w:rFonts w:hint="eastAsia" w:ascii="仿宋_GB2312" w:eastAsia="仿宋_GB2312"/>
          <w:sz w:val="32"/>
          <w:szCs w:val="32"/>
          <w:highlight w:val="none"/>
        </w:rPr>
        <w:t>　　4、及时与窗口单位负责人联系沟通，反映窗口单位工作人员的工作表现及业务情况。</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5、负责对进入政务服务中心的窗口单位工作人员的管理和考核，并对行政审批工作开展情况进行年终考核。</w:t>
      </w:r>
      <w:r>
        <w:rPr>
          <w:rFonts w:hint="eastAsia" w:ascii="仿宋_GB2312" w:eastAsia="仿宋_GB2312"/>
          <w:sz w:val="32"/>
          <w:szCs w:val="32"/>
          <w:highlight w:val="none"/>
        </w:rPr>
        <w:br w:type="textWrapping"/>
      </w:r>
      <w:r>
        <w:rPr>
          <w:rFonts w:hint="eastAsia" w:ascii="仿宋_GB2312" w:eastAsia="仿宋_GB2312"/>
          <w:sz w:val="32"/>
          <w:szCs w:val="32"/>
          <w:highlight w:val="none"/>
        </w:rPr>
        <w:t>　　6、协调相关部门处理群众反映窗口单位及工作人员存在的服务质量及相关问题的投诉。</w:t>
      </w:r>
      <w:r>
        <w:rPr>
          <w:rFonts w:hint="eastAsia" w:ascii="仿宋_GB2312" w:eastAsia="仿宋_GB2312"/>
          <w:sz w:val="32"/>
          <w:szCs w:val="32"/>
          <w:highlight w:val="none"/>
        </w:rPr>
        <w:br w:type="textWrapping"/>
      </w:r>
      <w:r>
        <w:rPr>
          <w:rFonts w:hint="eastAsia" w:ascii="仿宋_GB2312" w:eastAsia="仿宋_GB2312"/>
          <w:sz w:val="32"/>
          <w:szCs w:val="32"/>
          <w:highlight w:val="none"/>
        </w:rPr>
        <w:t>　　7、及时调整、公布国家有关行政审批的法律法规和自治区、地区、县人民政府相关规范性文件。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8、完成县委、县政府交办的其它工作。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裕民县政务服务中心</w:t>
      </w:r>
      <w:r>
        <w:rPr>
          <w:rFonts w:hint="eastAsia" w:ascii="仿宋_GB2312" w:eastAsia="仿宋_GB2312"/>
          <w:sz w:val="32"/>
          <w:szCs w:val="32"/>
          <w:highlight w:val="none"/>
          <w:lang w:eastAsia="zh-CN"/>
        </w:rPr>
        <w:t>2023年度，</w:t>
      </w:r>
      <w:r>
        <w:rPr>
          <w:rFonts w:hint="eastAsia" w:ascii="仿宋_GB2312" w:eastAsia="仿宋_GB2312"/>
          <w:sz w:val="32"/>
          <w:szCs w:val="32"/>
          <w:highlight w:val="none"/>
        </w:rPr>
        <w:t>实有人数</w:t>
      </w:r>
      <w:r>
        <w:rPr>
          <w:rFonts w:hint="eastAsia" w:ascii="仿宋_GB2312" w:eastAsia="仿宋_GB2312"/>
          <w:sz w:val="32"/>
          <w:szCs w:val="32"/>
          <w:highlight w:val="none"/>
          <w:lang w:val="zh-CN" w:eastAsia="zh-CN"/>
        </w:rPr>
        <w:t>4</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eastAsia="zh-CN"/>
        </w:rPr>
        <w:t>4</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zh-CN"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eastAsia="zh-CN"/>
        </w:rPr>
        <w:t>0</w:t>
      </w:r>
      <w:r>
        <w:rPr>
          <w:rFonts w:hint="eastAsia" w:ascii="仿宋_GB2312" w:eastAsia="仿宋_GB2312"/>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highlight w:val="none"/>
          <w:lang w:val="en-US" w:eastAsia="zh-CN"/>
        </w:rPr>
        <w:t>裕民县政务服务中心</w:t>
      </w:r>
      <w:r>
        <w:rPr>
          <w:rFonts w:hint="eastAsia" w:ascii="仿宋_GB2312" w:eastAsia="仿宋_GB2312"/>
          <w:sz w:val="32"/>
          <w:szCs w:val="32"/>
          <w:highlight w:val="none"/>
        </w:rPr>
        <w:t>无下属预算单位，下设</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个处室，是：</w:t>
      </w:r>
      <w:r>
        <w:rPr>
          <w:rFonts w:hint="eastAsia" w:ascii="仿宋_GB2312" w:eastAsia="仿宋_GB2312"/>
          <w:sz w:val="32"/>
          <w:szCs w:val="32"/>
          <w:highlight w:val="none"/>
          <w:lang w:eastAsia="zh-CN"/>
        </w:rPr>
        <w:t>财务室</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b/>
          <w:bCs/>
          <w:sz w:val="32"/>
          <w:szCs w:val="32"/>
          <w:highlight w:val="none"/>
          <w:lang w:val="en-US" w:eastAsia="zh-CN"/>
        </w:rPr>
        <w:t>2023年度收入总计87.97万元，</w:t>
      </w:r>
      <w:r>
        <w:rPr>
          <w:rFonts w:hint="eastAsia" w:ascii="仿宋_GB2312" w:eastAsia="仿宋_GB2312"/>
          <w:sz w:val="32"/>
          <w:szCs w:val="32"/>
          <w:highlight w:val="none"/>
          <w:lang w:val="en-US" w:eastAsia="zh-CN"/>
        </w:rPr>
        <w:t>其中：本年收入合计87.97万元，使用非财政拨款结余0.00万元，年初结转和结余0.00万元。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b/>
          <w:bCs/>
          <w:sz w:val="32"/>
          <w:szCs w:val="32"/>
          <w:highlight w:val="none"/>
          <w:lang w:val="en-US" w:eastAsia="zh-CN"/>
        </w:rPr>
        <w:t>2023年度支出总计87.97万元，</w:t>
      </w:r>
      <w:r>
        <w:rPr>
          <w:rFonts w:hint="eastAsia" w:ascii="仿宋_GB2312" w:eastAsia="仿宋_GB2312"/>
          <w:sz w:val="32"/>
          <w:szCs w:val="32"/>
          <w:highlight w:val="none"/>
          <w:lang w:val="en-US" w:eastAsia="zh-CN"/>
        </w:rPr>
        <w:t>其中：本年支出合计87.97万元，结余分配0.00万元，年末结转和结余0.00万元。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b/>
          <w:bCs/>
          <w:sz w:val="32"/>
          <w:szCs w:val="32"/>
          <w:highlight w:val="none"/>
          <w:lang w:val="en-US" w:eastAsia="zh-CN"/>
        </w:rPr>
        <w:t>收入支出总体与上年相比，</w:t>
      </w:r>
      <w:r>
        <w:rPr>
          <w:rFonts w:hint="eastAsia" w:ascii="仿宋_GB2312" w:eastAsia="仿宋_GB2312"/>
          <w:sz w:val="32"/>
          <w:szCs w:val="32"/>
          <w:highlight w:val="none"/>
          <w:lang w:val="zh-CN" w:eastAsia="zh-CN"/>
        </w:rPr>
        <w:t>增加5.37万元</w:t>
      </w:r>
      <w:r>
        <w:rPr>
          <w:rFonts w:hint="eastAsia" w:ascii="仿宋_GB2312" w:eastAsia="仿宋_GB2312"/>
          <w:sz w:val="32"/>
          <w:szCs w:val="32"/>
          <w:highlight w:val="none"/>
          <w:lang w:val="en-US" w:eastAsia="zh-CN"/>
        </w:rPr>
        <w:t>，增长6.50%，主要原因是：2023年在职人员普调增资；社保、医保、公积金缴费基数增长。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3"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b/>
          <w:bCs/>
          <w:color w:val="auto"/>
          <w:spacing w:val="0"/>
          <w:kern w:val="2"/>
          <w:sz w:val="32"/>
          <w:szCs w:val="32"/>
          <w:lang w:val="zh-CN" w:eastAsia="zh-CN" w:bidi="ar-SA"/>
        </w:rPr>
        <w:t>本年收入87.97万元，</w:t>
      </w:r>
      <w:r>
        <w:rPr>
          <w:rFonts w:hint="eastAsia" w:ascii="仿宋_GB2312" w:hAnsi="Times New Roman" w:eastAsia="仿宋_GB2312" w:cs="Times New Roman"/>
          <w:color w:val="auto"/>
          <w:spacing w:val="0"/>
          <w:kern w:val="2"/>
          <w:sz w:val="32"/>
          <w:szCs w:val="32"/>
          <w:lang w:val="zh-CN" w:eastAsia="zh-CN" w:bidi="ar-SA"/>
        </w:rPr>
        <w:t>其中：财政拨款收入87.97万元，占100.00%；上级补助收入0.00万元，占0.00%；事业收入0.00万元，占0.00%；经营收入0.00万元，占0.00%；附属单位上缴收入0.00万元，占0.00%；其他收入0.00万元，占0.00%。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3"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b/>
          <w:bCs/>
          <w:color w:val="auto"/>
          <w:spacing w:val="0"/>
          <w:kern w:val="2"/>
          <w:sz w:val="32"/>
          <w:szCs w:val="32"/>
          <w:lang w:val="zh-CN" w:eastAsia="zh-CN" w:bidi="ar-SA"/>
        </w:rPr>
        <w:t>本年支出87.97万元，</w:t>
      </w:r>
      <w:r>
        <w:rPr>
          <w:rFonts w:hint="eastAsia" w:ascii="仿宋_GB2312" w:hAnsi="Times New Roman" w:eastAsia="仿宋_GB2312" w:cs="Times New Roman"/>
          <w:color w:val="auto"/>
          <w:spacing w:val="0"/>
          <w:kern w:val="2"/>
          <w:sz w:val="32"/>
          <w:szCs w:val="32"/>
          <w:lang w:val="zh-CN" w:eastAsia="zh-CN" w:bidi="ar-SA"/>
        </w:rPr>
        <w:t>其中：基本支出87.97万元，占100.00%；项目支出0.00万元，占0.00%；上缴上级支出0.00万元，占0.00%；经营支出0.00万元，占0.00%；对附属单位补助支出0.00万元，占0.00%。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3" w:firstLineChars="200"/>
        <w:jc w:val="both"/>
        <w:textAlignment w:val="auto"/>
        <w:rPr>
          <w:rFonts w:hint="eastAsia"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b/>
          <w:bCs/>
          <w:color w:val="auto"/>
          <w:spacing w:val="0"/>
          <w:kern w:val="2"/>
          <w:sz w:val="32"/>
          <w:szCs w:val="32"/>
          <w:lang w:val="zh-CN" w:eastAsia="zh-CN" w:bidi="ar-SA"/>
        </w:rPr>
        <w:t>2023年度财政拨款收入</w:t>
      </w:r>
      <w:r>
        <w:rPr>
          <w:rFonts w:hint="eastAsia" w:ascii="仿宋_GB2312" w:hAnsi="Times New Roman" w:eastAsia="仿宋_GB2312" w:cs="Times New Roman"/>
          <w:b/>
          <w:bCs/>
          <w:color w:val="auto"/>
          <w:spacing w:val="0"/>
          <w:kern w:val="2"/>
          <w:sz w:val="32"/>
          <w:szCs w:val="32"/>
          <w:lang w:val="en-US" w:eastAsia="zh-CN" w:bidi="ar-SA"/>
        </w:rPr>
        <w:t>总计</w:t>
      </w:r>
      <w:r>
        <w:rPr>
          <w:rFonts w:hint="eastAsia" w:ascii="仿宋_GB2312" w:hAnsi="Times New Roman" w:eastAsia="仿宋_GB2312" w:cs="Times New Roman"/>
          <w:b/>
          <w:bCs/>
          <w:color w:val="auto"/>
          <w:spacing w:val="0"/>
          <w:kern w:val="2"/>
          <w:sz w:val="32"/>
          <w:szCs w:val="32"/>
          <w:lang w:val="zh-CN" w:eastAsia="zh-CN" w:bidi="ar-SA"/>
        </w:rPr>
        <w:t>87.97万元，</w:t>
      </w:r>
      <w:r>
        <w:rPr>
          <w:rFonts w:hint="eastAsia" w:ascii="仿宋_GB2312" w:hAnsi="Times New Roman" w:eastAsia="仿宋_GB2312" w:cs="Times New Roman"/>
          <w:color w:val="auto"/>
          <w:spacing w:val="0"/>
          <w:kern w:val="2"/>
          <w:sz w:val="32"/>
          <w:szCs w:val="32"/>
          <w:lang w:val="en-US" w:eastAsia="zh-CN" w:bidi="ar-SA"/>
        </w:rPr>
        <w:t>其中：年初财政拨款结转和结余</w:t>
      </w:r>
      <w:r>
        <w:rPr>
          <w:rFonts w:hint="eastAsia" w:ascii="仿宋_GB2312" w:hAnsi="Times New Roman" w:eastAsia="仿宋_GB2312" w:cs="Times New Roman"/>
          <w:color w:val="auto"/>
          <w:spacing w:val="0"/>
          <w:kern w:val="2"/>
          <w:sz w:val="32"/>
          <w:szCs w:val="32"/>
          <w:lang w:val="zh-CN" w:eastAsia="zh-CN" w:bidi="ar-SA"/>
        </w:rPr>
        <w:t>0.00万元，</w:t>
      </w:r>
      <w:r>
        <w:rPr>
          <w:rFonts w:hint="eastAsia" w:ascii="仿宋_GB2312" w:hAnsi="Times New Roman" w:eastAsia="仿宋_GB2312" w:cs="Times New Roman"/>
          <w:color w:val="auto"/>
          <w:spacing w:val="0"/>
          <w:kern w:val="2"/>
          <w:sz w:val="32"/>
          <w:szCs w:val="32"/>
          <w:lang w:val="en-US" w:eastAsia="zh-CN" w:bidi="ar-SA"/>
        </w:rPr>
        <w:t>本年财政拨款收入</w:t>
      </w:r>
      <w:r>
        <w:rPr>
          <w:rFonts w:hint="eastAsia" w:ascii="仿宋_GB2312" w:hAnsi="Times New Roman" w:eastAsia="仿宋_GB2312" w:cs="Times New Roman"/>
          <w:color w:val="auto"/>
          <w:spacing w:val="0"/>
          <w:kern w:val="2"/>
          <w:sz w:val="32"/>
          <w:szCs w:val="32"/>
          <w:lang w:val="zh-CN" w:eastAsia="zh-CN" w:bidi="ar-SA"/>
        </w:rPr>
        <w:t>87.97万元。</w:t>
      </w:r>
      <w:r>
        <w:rPr>
          <w:rFonts w:hint="eastAsia" w:ascii="仿宋_GB2312" w:hAnsi="Times New Roman" w:eastAsia="仿宋_GB2312" w:cs="Times New Roman"/>
          <w:b/>
          <w:bCs/>
          <w:color w:val="auto"/>
          <w:spacing w:val="0"/>
          <w:kern w:val="2"/>
          <w:sz w:val="32"/>
          <w:szCs w:val="32"/>
          <w:lang w:val="zh-CN" w:eastAsia="zh-CN" w:bidi="ar-SA"/>
        </w:rPr>
        <w:t>财政拨款支出</w:t>
      </w:r>
      <w:r>
        <w:rPr>
          <w:rFonts w:hint="eastAsia" w:ascii="仿宋_GB2312" w:hAnsi="Times New Roman" w:eastAsia="仿宋_GB2312" w:cs="Times New Roman"/>
          <w:b/>
          <w:bCs/>
          <w:color w:val="auto"/>
          <w:spacing w:val="0"/>
          <w:kern w:val="2"/>
          <w:sz w:val="32"/>
          <w:szCs w:val="32"/>
          <w:lang w:val="en-US" w:eastAsia="zh-CN" w:bidi="ar-SA"/>
        </w:rPr>
        <w:t>总计</w:t>
      </w:r>
      <w:r>
        <w:rPr>
          <w:rFonts w:hint="eastAsia" w:ascii="仿宋_GB2312" w:hAnsi="Times New Roman" w:eastAsia="仿宋_GB2312" w:cs="Times New Roman"/>
          <w:b/>
          <w:bCs/>
          <w:color w:val="auto"/>
          <w:spacing w:val="0"/>
          <w:kern w:val="2"/>
          <w:sz w:val="32"/>
          <w:szCs w:val="32"/>
          <w:lang w:val="zh-CN" w:eastAsia="zh-CN" w:bidi="ar-SA"/>
        </w:rPr>
        <w:t>87.97万元，</w:t>
      </w:r>
      <w:r>
        <w:rPr>
          <w:rFonts w:hint="eastAsia" w:ascii="仿宋_GB2312" w:hAnsi="Times New Roman" w:eastAsia="仿宋_GB2312" w:cs="Times New Roman"/>
          <w:color w:val="auto"/>
          <w:spacing w:val="0"/>
          <w:kern w:val="2"/>
          <w:sz w:val="32"/>
          <w:szCs w:val="32"/>
          <w:lang w:val="en-US" w:eastAsia="zh-CN" w:bidi="ar-SA"/>
        </w:rPr>
        <w:t>其中：年末财政拨款结转和结余</w:t>
      </w:r>
      <w:r>
        <w:rPr>
          <w:rFonts w:hint="eastAsia" w:ascii="仿宋_GB2312" w:hAnsi="Times New Roman" w:eastAsia="仿宋_GB2312" w:cs="Times New Roman"/>
          <w:color w:val="auto"/>
          <w:spacing w:val="0"/>
          <w:kern w:val="2"/>
          <w:sz w:val="32"/>
          <w:szCs w:val="32"/>
          <w:lang w:val="zh-CN" w:eastAsia="zh-CN" w:bidi="ar-SA"/>
        </w:rPr>
        <w:t>0.00万元，</w:t>
      </w:r>
      <w:r>
        <w:rPr>
          <w:rFonts w:hint="eastAsia" w:ascii="仿宋_GB2312" w:hAnsi="Times New Roman" w:eastAsia="仿宋_GB2312" w:cs="Times New Roman"/>
          <w:color w:val="auto"/>
          <w:spacing w:val="0"/>
          <w:kern w:val="2"/>
          <w:sz w:val="32"/>
          <w:szCs w:val="32"/>
          <w:lang w:val="en-US" w:eastAsia="zh-CN" w:bidi="ar-SA"/>
        </w:rPr>
        <w:t>本年财政拨款支出</w:t>
      </w:r>
      <w:r>
        <w:rPr>
          <w:rFonts w:hint="eastAsia" w:ascii="仿宋_GB2312" w:hAnsi="Times New Roman" w:eastAsia="仿宋_GB2312" w:cs="Times New Roman"/>
          <w:color w:val="auto"/>
          <w:spacing w:val="0"/>
          <w:kern w:val="2"/>
          <w:sz w:val="32"/>
          <w:szCs w:val="32"/>
          <w:lang w:val="zh-CN" w:eastAsia="zh-CN" w:bidi="ar-SA"/>
        </w:rPr>
        <w:t>87.97万元。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outlineLvl w:val="1"/>
        <w:rPr>
          <w:rFonts w:hint="eastAsia" w:ascii="仿宋_GB2312" w:hAnsi="Times New Roman" w:eastAsia="仿宋_GB2312" w:cs="Times New Roman"/>
          <w:color w:val="auto"/>
          <w:spacing w:val="0"/>
          <w:kern w:val="2"/>
          <w:sz w:val="32"/>
          <w:szCs w:val="32"/>
          <w:lang w:val="en-US" w:eastAsia="zh-CN" w:bidi="ar-SA"/>
        </w:rPr>
      </w:pPr>
      <w:r>
        <w:rPr>
          <w:rFonts w:hint="eastAsia" w:ascii="仿宋_GB2312" w:hAnsi="Times New Roman" w:eastAsia="仿宋_GB2312" w:cs="Times New Roman"/>
          <w:b/>
          <w:bCs/>
          <w:color w:val="auto"/>
          <w:spacing w:val="0"/>
          <w:kern w:val="2"/>
          <w:sz w:val="32"/>
          <w:szCs w:val="32"/>
          <w:lang w:val="zh-CN" w:eastAsia="zh-CN" w:bidi="ar-SA"/>
        </w:rPr>
        <w:t>财政拨款收入支出总体与上年相比</w:t>
      </w:r>
      <w:r>
        <w:rPr>
          <w:rFonts w:hint="eastAsia" w:ascii="仿宋_GB2312" w:hAnsi="Times New Roman" w:eastAsia="仿宋_GB2312" w:cs="Times New Roman"/>
          <w:b/>
          <w:bCs/>
          <w:color w:val="auto"/>
          <w:spacing w:val="0"/>
          <w:kern w:val="2"/>
          <w:sz w:val="32"/>
          <w:szCs w:val="32"/>
          <w:lang w:val="en-US" w:eastAsia="zh-CN" w:bidi="ar-SA"/>
        </w:rPr>
        <w:t>,</w:t>
      </w:r>
      <w:r>
        <w:rPr>
          <w:rFonts w:hint="eastAsia" w:ascii="仿宋_GB2312" w:hAnsi="Times New Roman" w:eastAsia="仿宋_GB2312" w:cs="Times New Roman"/>
          <w:color w:val="auto"/>
          <w:spacing w:val="0"/>
          <w:kern w:val="2"/>
          <w:sz w:val="32"/>
          <w:szCs w:val="32"/>
          <w:lang w:val="zh-CN" w:eastAsia="zh-CN" w:bidi="ar-SA"/>
        </w:rPr>
        <w:t>增加5.37万元，</w:t>
      </w:r>
      <w:r>
        <w:rPr>
          <w:rFonts w:hint="eastAsia" w:ascii="仿宋_GB2312" w:hAnsi="Times New Roman" w:eastAsia="仿宋_GB2312" w:cs="Times New Roman"/>
          <w:color w:val="auto"/>
          <w:spacing w:val="0"/>
          <w:kern w:val="2"/>
          <w:sz w:val="32"/>
          <w:szCs w:val="32"/>
          <w:lang w:val="en-US" w:eastAsia="zh-CN" w:bidi="ar-SA"/>
        </w:rPr>
        <w:t>增长6.50%,</w:t>
      </w:r>
      <w:r>
        <w:rPr>
          <w:rFonts w:hint="eastAsia" w:ascii="仿宋_GB2312" w:hAnsi="Times New Roman" w:eastAsia="仿宋_GB2312" w:cs="Times New Roman"/>
          <w:color w:val="auto"/>
          <w:spacing w:val="0"/>
          <w:kern w:val="2"/>
          <w:sz w:val="32"/>
          <w:szCs w:val="32"/>
          <w:lang w:val="zh-CN" w:eastAsia="zh-CN" w:bidi="ar-SA"/>
        </w:rPr>
        <w:t>主要原因是：</w:t>
      </w:r>
      <w:r>
        <w:rPr>
          <w:rFonts w:hint="eastAsia" w:ascii="仿宋_GB2312" w:hAnsi="Times New Roman" w:eastAsia="仿宋_GB2312" w:cs="Times New Roman"/>
          <w:color w:val="auto"/>
          <w:spacing w:val="0"/>
          <w:kern w:val="2"/>
          <w:sz w:val="32"/>
          <w:szCs w:val="32"/>
          <w:lang w:val="en-US" w:eastAsia="zh-CN" w:bidi="ar-SA"/>
        </w:rPr>
        <w:t>2023年在职人员普调增资；社保、医保、公积金缴费基数增长。</w:t>
      </w:r>
      <w:r>
        <w:rPr>
          <w:rFonts w:hint="eastAsia" w:ascii="仿宋_GB2312" w:hAnsi="Times New Roman" w:eastAsia="仿宋_GB2312" w:cs="Times New Roman"/>
          <w:b/>
          <w:bCs/>
          <w:color w:val="auto"/>
          <w:spacing w:val="0"/>
          <w:kern w:val="2"/>
          <w:sz w:val="32"/>
          <w:szCs w:val="32"/>
          <w:lang w:val="zh-CN" w:eastAsia="zh-CN" w:bidi="ar-SA"/>
        </w:rPr>
        <w:t>与年初预算相比，</w:t>
      </w:r>
      <w:r>
        <w:rPr>
          <w:rFonts w:hint="eastAsia" w:ascii="仿宋_GB2312" w:hAnsi="Times New Roman" w:eastAsia="仿宋_GB2312" w:cs="Times New Roman"/>
          <w:color w:val="auto"/>
          <w:spacing w:val="0"/>
          <w:kern w:val="2"/>
          <w:sz w:val="32"/>
          <w:szCs w:val="32"/>
          <w:lang w:val="zh-CN" w:eastAsia="zh-CN" w:bidi="ar-SA"/>
        </w:rPr>
        <w:t>年初预算数94.91万元，决算数87.97万元，预决算差异率-7.31%，主要原因是：人员调动，人员经费减少。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w:t>
      </w:r>
      <w:r>
        <w:rPr>
          <w:rFonts w:hint="eastAsia" w:ascii="黑体" w:hAnsi="黑体" w:eastAsia="黑体" w:cs="黑体"/>
          <w:bCs/>
          <w:color w:val="auto"/>
          <w:kern w:val="0"/>
          <w:sz w:val="32"/>
          <w:szCs w:val="32"/>
          <w:highlight w:val="none"/>
          <w:lang w:eastAsia="zh-CN"/>
        </w:rPr>
        <w:t>、一般公共预算财政拨款支出决算情况说明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3" w:firstLineChars="200"/>
        <w:jc w:val="both"/>
        <w:textAlignment w:val="auto"/>
        <w:rPr>
          <w:rFonts w:hint="default" w:ascii="仿宋_GB2312" w:hAnsi="Times New Roman" w:eastAsia="仿宋_GB2312" w:cs="Times New Roman"/>
          <w:color w:val="auto"/>
          <w:spacing w:val="0"/>
          <w:kern w:val="2"/>
          <w:sz w:val="32"/>
          <w:szCs w:val="32"/>
          <w:lang w:val="en-US" w:eastAsia="zh-CN" w:bidi="ar-SA"/>
        </w:rPr>
      </w:pPr>
      <w:r>
        <w:rPr>
          <w:rFonts w:hint="eastAsia" w:ascii="仿宋_GB2312" w:hAnsi="Times New Roman" w:eastAsia="仿宋_GB2312" w:cs="Times New Roman"/>
          <w:b/>
          <w:bCs/>
          <w:color w:val="auto"/>
          <w:spacing w:val="0"/>
          <w:kern w:val="2"/>
          <w:sz w:val="32"/>
          <w:szCs w:val="32"/>
          <w:lang w:val="zh-CN" w:eastAsia="zh-CN" w:bidi="ar-SA"/>
        </w:rPr>
        <w:t>2023年度一般公共预算财政拨款支出87.97万元，</w:t>
      </w:r>
      <w:r>
        <w:rPr>
          <w:rFonts w:hint="eastAsia" w:ascii="仿宋_GB2312" w:hAnsi="Times New Roman" w:eastAsia="仿宋_GB2312" w:cs="Times New Roman"/>
          <w:color w:val="auto"/>
          <w:spacing w:val="0"/>
          <w:kern w:val="2"/>
          <w:sz w:val="32"/>
          <w:szCs w:val="32"/>
          <w:lang w:val="zh-CN" w:eastAsia="zh-CN" w:bidi="ar-SA"/>
        </w:rPr>
        <w:t>占本年支出合计的100.00%。</w:t>
      </w:r>
      <w:r>
        <w:rPr>
          <w:rFonts w:hint="eastAsia" w:ascii="仿宋_GB2312" w:hAnsi="Times New Roman" w:eastAsia="仿宋_GB2312" w:cs="Times New Roman"/>
          <w:b/>
          <w:bCs/>
          <w:color w:val="auto"/>
          <w:spacing w:val="0"/>
          <w:kern w:val="2"/>
          <w:sz w:val="32"/>
          <w:szCs w:val="32"/>
          <w:lang w:val="zh-CN" w:eastAsia="zh-CN" w:bidi="ar-SA"/>
        </w:rPr>
        <w:t>与上年相比，</w:t>
      </w:r>
      <w:r>
        <w:rPr>
          <w:rFonts w:hint="eastAsia" w:ascii="仿宋_GB2312" w:hAnsi="Times New Roman" w:eastAsia="仿宋_GB2312" w:cs="Times New Roman"/>
          <w:color w:val="auto"/>
          <w:spacing w:val="0"/>
          <w:kern w:val="2"/>
          <w:sz w:val="32"/>
          <w:szCs w:val="32"/>
          <w:lang w:val="zh-CN" w:eastAsia="zh-CN" w:bidi="ar-SA"/>
        </w:rPr>
        <w:t>增加5.37万元，</w:t>
      </w:r>
      <w:r>
        <w:rPr>
          <w:rFonts w:hint="eastAsia" w:ascii="仿宋_GB2312" w:hAnsi="Times New Roman" w:eastAsia="仿宋_GB2312" w:cs="Times New Roman"/>
          <w:color w:val="auto"/>
          <w:spacing w:val="0"/>
          <w:kern w:val="2"/>
          <w:sz w:val="32"/>
          <w:szCs w:val="32"/>
          <w:lang w:val="en-US" w:eastAsia="zh-CN" w:bidi="ar-SA"/>
        </w:rPr>
        <w:t>增长6.50%,</w:t>
      </w:r>
      <w:r>
        <w:rPr>
          <w:rFonts w:hint="eastAsia" w:ascii="仿宋_GB2312" w:hAnsi="Times New Roman" w:eastAsia="仿宋_GB2312" w:cs="Times New Roman"/>
          <w:color w:val="auto"/>
          <w:spacing w:val="0"/>
          <w:kern w:val="2"/>
          <w:sz w:val="32"/>
          <w:szCs w:val="32"/>
          <w:lang w:val="zh-CN" w:eastAsia="zh-CN" w:bidi="ar-SA"/>
        </w:rPr>
        <w:t>主要原因是：2023年在职人员普调增资；社保、医保、公积金缴费基数增长。</w:t>
      </w:r>
      <w:r>
        <w:rPr>
          <w:rFonts w:hint="eastAsia" w:ascii="仿宋_GB2312" w:hAnsi="Times New Roman" w:eastAsia="仿宋_GB2312" w:cs="Times New Roman"/>
          <w:b/>
          <w:bCs/>
          <w:color w:val="auto"/>
          <w:spacing w:val="0"/>
          <w:kern w:val="2"/>
          <w:sz w:val="32"/>
          <w:szCs w:val="32"/>
          <w:lang w:val="zh-CN" w:eastAsia="zh-CN" w:bidi="ar-SA"/>
        </w:rPr>
        <w:t>与年初预算相比，</w:t>
      </w:r>
      <w:r>
        <w:rPr>
          <w:rFonts w:hint="eastAsia" w:ascii="仿宋_GB2312" w:hAnsi="Times New Roman" w:eastAsia="仿宋_GB2312" w:cs="Times New Roman"/>
          <w:color w:val="auto"/>
          <w:spacing w:val="0"/>
          <w:kern w:val="2"/>
          <w:sz w:val="32"/>
          <w:szCs w:val="32"/>
          <w:lang w:val="zh-CN" w:eastAsia="zh-CN" w:bidi="ar-SA"/>
        </w:rPr>
        <w:t>年初预算数94.91万元，决算数87.97万元，预决算差异率-7.31%，主要原因是：人员调动，人员经费减少。</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lang w:val="zh-CN" w:eastAsia="zh-CN" w:bidi="ar-SA"/>
        </w:rPr>
      </w:pPr>
      <w:r>
        <w:rPr>
          <w:rFonts w:hint="default" w:ascii="仿宋_GB2312" w:hAnsi="Times New Roman" w:eastAsia="仿宋_GB2312" w:cs="Times New Roman"/>
          <w:color w:val="auto"/>
          <w:spacing w:val="0"/>
          <w:kern w:val="2"/>
          <w:sz w:val="32"/>
          <w:szCs w:val="32"/>
          <w:lang w:val="zh-CN" w:eastAsia="zh-CN" w:bidi="ar-SA"/>
        </w:rPr>
        <w:t>1.一般公共服务支出（类）</w:t>
      </w:r>
      <w:r>
        <w:rPr>
          <w:rFonts w:hint="eastAsia" w:ascii="仿宋_GB2312" w:hAnsi="Times New Roman" w:eastAsia="仿宋_GB2312" w:cs="Times New Roman"/>
          <w:color w:val="auto"/>
          <w:spacing w:val="0"/>
          <w:kern w:val="2"/>
          <w:sz w:val="32"/>
          <w:szCs w:val="32"/>
          <w:lang w:val="zh-CN" w:eastAsia="zh-CN" w:bidi="ar-SA"/>
        </w:rPr>
        <w:t>73.78</w:t>
      </w:r>
      <w:r>
        <w:rPr>
          <w:rFonts w:hint="default" w:ascii="仿宋_GB2312" w:hAnsi="Times New Roman" w:eastAsia="仿宋_GB2312" w:cs="Times New Roman"/>
          <w:color w:val="auto"/>
          <w:spacing w:val="0"/>
          <w:kern w:val="2"/>
          <w:sz w:val="32"/>
          <w:szCs w:val="32"/>
          <w:lang w:val="zh-CN" w:eastAsia="zh-CN" w:bidi="ar-SA"/>
        </w:rPr>
        <w:t>万元，占</w:t>
      </w:r>
      <w:r>
        <w:rPr>
          <w:rFonts w:hint="eastAsia" w:ascii="仿宋_GB2312" w:hAnsi="Times New Roman" w:eastAsia="仿宋_GB2312" w:cs="Times New Roman"/>
          <w:color w:val="auto"/>
          <w:spacing w:val="0"/>
          <w:kern w:val="2"/>
          <w:sz w:val="32"/>
          <w:szCs w:val="32"/>
          <w:lang w:val="zh-CN" w:eastAsia="zh-CN" w:bidi="ar-SA"/>
        </w:rPr>
        <w:t>83.87</w:t>
      </w:r>
      <w:r>
        <w:rPr>
          <w:rFonts w:hint="default" w:ascii="仿宋_GB2312" w:hAnsi="Times New Roman" w:eastAsia="仿宋_GB2312" w:cs="Times New Roman"/>
          <w:color w:val="auto"/>
          <w:spacing w:val="0"/>
          <w:kern w:val="2"/>
          <w:sz w:val="32"/>
          <w:szCs w:val="32"/>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lang w:val="zh-CN" w:eastAsia="zh-CN" w:bidi="ar-SA"/>
        </w:rPr>
      </w:pPr>
      <w:r>
        <w:rPr>
          <w:rFonts w:hint="default" w:ascii="仿宋_GB2312" w:hAnsi="Times New Roman"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社会保障和就业支出（类）</w:t>
      </w:r>
      <w:r>
        <w:rPr>
          <w:rFonts w:hint="eastAsia" w:ascii="仿宋_GB2312" w:hAnsi="Times New Roman" w:eastAsia="仿宋_GB2312" w:cs="Times New Roman"/>
          <w:color w:val="auto"/>
          <w:spacing w:val="0"/>
          <w:kern w:val="2"/>
          <w:sz w:val="32"/>
          <w:szCs w:val="32"/>
          <w:lang w:val="zh-CN" w:eastAsia="zh-CN" w:bidi="ar-SA"/>
        </w:rPr>
        <w:t>6.</w:t>
      </w:r>
      <w:r>
        <w:rPr>
          <w:rFonts w:hint="eastAsia" w:ascii="仿宋_GB2312" w:hAnsi="Times New Roman" w:eastAsia="仿宋_GB2312" w:cs="Times New Roman"/>
          <w:color w:val="auto"/>
          <w:spacing w:val="0"/>
          <w:kern w:val="2"/>
          <w:sz w:val="32"/>
          <w:szCs w:val="32"/>
          <w:lang w:val="en-US" w:eastAsia="zh-CN" w:bidi="ar-SA"/>
        </w:rPr>
        <w:t>3</w:t>
      </w:r>
      <w:r>
        <w:rPr>
          <w:rFonts w:hint="eastAsia" w:ascii="仿宋_GB2312" w:hAnsi="Times New Roman" w:eastAsia="仿宋_GB2312" w:cs="Times New Roman"/>
          <w:color w:val="auto"/>
          <w:spacing w:val="0"/>
          <w:kern w:val="2"/>
          <w:sz w:val="32"/>
          <w:szCs w:val="32"/>
          <w:lang w:val="zh-CN" w:eastAsia="zh-CN" w:bidi="ar-SA"/>
        </w:rPr>
        <w:t>7</w:t>
      </w:r>
      <w:r>
        <w:rPr>
          <w:rFonts w:hint="default" w:ascii="仿宋_GB2312" w:hAnsi="Times New Roman" w:eastAsia="仿宋_GB2312" w:cs="Times New Roman"/>
          <w:color w:val="auto"/>
          <w:spacing w:val="0"/>
          <w:kern w:val="2"/>
          <w:sz w:val="32"/>
          <w:szCs w:val="32"/>
          <w:lang w:val="zh-CN" w:eastAsia="zh-CN" w:bidi="ar-SA"/>
        </w:rPr>
        <w:t>万元，占</w:t>
      </w:r>
      <w:r>
        <w:rPr>
          <w:rFonts w:hint="eastAsia" w:ascii="仿宋_GB2312" w:hAnsi="Times New Roman" w:eastAsia="仿宋_GB2312" w:cs="Times New Roman"/>
          <w:color w:val="auto"/>
          <w:spacing w:val="0"/>
          <w:kern w:val="2"/>
          <w:sz w:val="32"/>
          <w:szCs w:val="32"/>
          <w:lang w:val="zh-CN" w:eastAsia="zh-CN" w:bidi="ar-SA"/>
        </w:rPr>
        <w:t>7.24</w:t>
      </w:r>
      <w:r>
        <w:rPr>
          <w:rFonts w:hint="default" w:ascii="仿宋_GB2312" w:hAnsi="Times New Roman" w:eastAsia="仿宋_GB2312" w:cs="Times New Roman"/>
          <w:color w:val="auto"/>
          <w:spacing w:val="0"/>
          <w:kern w:val="2"/>
          <w:sz w:val="32"/>
          <w:szCs w:val="32"/>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lang w:val="zh-CN" w:eastAsia="zh-CN" w:bidi="ar-SA"/>
        </w:rPr>
      </w:pPr>
      <w:r>
        <w:rPr>
          <w:rFonts w:hint="default" w:ascii="仿宋_GB2312" w:hAnsi="Times New Roman" w:eastAsia="仿宋_GB2312" w:cs="Times New Roman"/>
          <w:color w:val="auto"/>
          <w:spacing w:val="0"/>
          <w:kern w:val="2"/>
          <w:sz w:val="32"/>
          <w:szCs w:val="32"/>
          <w:lang w:val="zh-CN" w:eastAsia="zh-CN" w:bidi="ar-SA"/>
        </w:rPr>
        <w:t>3.卫生健康支出（类）</w:t>
      </w:r>
      <w:r>
        <w:rPr>
          <w:rFonts w:hint="eastAsia" w:ascii="仿宋_GB2312" w:hAnsi="Times New Roman" w:eastAsia="仿宋_GB2312" w:cs="Times New Roman"/>
          <w:color w:val="auto"/>
          <w:spacing w:val="0"/>
          <w:kern w:val="2"/>
          <w:sz w:val="32"/>
          <w:szCs w:val="32"/>
          <w:lang w:val="zh-CN" w:eastAsia="zh-CN" w:bidi="ar-SA"/>
        </w:rPr>
        <w:t>2.80</w:t>
      </w:r>
      <w:r>
        <w:rPr>
          <w:rFonts w:hint="default" w:ascii="仿宋_GB2312" w:hAnsi="Times New Roman" w:eastAsia="仿宋_GB2312" w:cs="Times New Roman"/>
          <w:color w:val="auto"/>
          <w:spacing w:val="0"/>
          <w:kern w:val="2"/>
          <w:sz w:val="32"/>
          <w:szCs w:val="32"/>
          <w:lang w:val="zh-CN" w:eastAsia="zh-CN" w:bidi="ar-SA"/>
        </w:rPr>
        <w:t>万元，占</w:t>
      </w:r>
      <w:r>
        <w:rPr>
          <w:rFonts w:hint="eastAsia" w:ascii="仿宋_GB2312" w:hAnsi="Times New Roman" w:eastAsia="仿宋_GB2312" w:cs="Times New Roman"/>
          <w:color w:val="auto"/>
          <w:spacing w:val="0"/>
          <w:kern w:val="2"/>
          <w:sz w:val="32"/>
          <w:szCs w:val="32"/>
          <w:lang w:val="zh-CN" w:eastAsia="zh-CN" w:bidi="ar-SA"/>
        </w:rPr>
        <w:t>3.19</w:t>
      </w:r>
      <w:r>
        <w:rPr>
          <w:rFonts w:hint="default" w:ascii="仿宋_GB2312" w:hAnsi="Times New Roman" w:eastAsia="仿宋_GB2312" w:cs="Times New Roman"/>
          <w:color w:val="auto"/>
          <w:spacing w:val="0"/>
          <w:kern w:val="2"/>
          <w:sz w:val="32"/>
          <w:szCs w:val="32"/>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lang w:val="zh-CN" w:eastAsia="zh-CN" w:bidi="ar-SA"/>
        </w:rPr>
      </w:pPr>
      <w:r>
        <w:rPr>
          <w:rFonts w:hint="default" w:ascii="仿宋_GB2312" w:hAnsi="Times New Roman" w:eastAsia="仿宋_GB2312" w:cs="Times New Roman"/>
          <w:color w:val="auto"/>
          <w:spacing w:val="0"/>
          <w:kern w:val="2"/>
          <w:sz w:val="32"/>
          <w:szCs w:val="32"/>
          <w:lang w:val="zh-CN" w:eastAsia="zh-CN" w:bidi="ar-SA"/>
        </w:rPr>
        <w:t>4.住房保障支出（类）</w:t>
      </w:r>
      <w:r>
        <w:rPr>
          <w:rFonts w:hint="eastAsia" w:ascii="仿宋_GB2312" w:hAnsi="Times New Roman" w:eastAsia="仿宋_GB2312" w:cs="Times New Roman"/>
          <w:color w:val="auto"/>
          <w:spacing w:val="0"/>
          <w:kern w:val="2"/>
          <w:sz w:val="32"/>
          <w:szCs w:val="32"/>
          <w:lang w:val="zh-CN" w:eastAsia="zh-CN" w:bidi="ar-SA"/>
        </w:rPr>
        <w:t>5.02</w:t>
      </w:r>
      <w:r>
        <w:rPr>
          <w:rFonts w:hint="default" w:ascii="仿宋_GB2312" w:hAnsi="Times New Roman" w:eastAsia="仿宋_GB2312" w:cs="Times New Roman"/>
          <w:color w:val="auto"/>
          <w:spacing w:val="0"/>
          <w:kern w:val="2"/>
          <w:sz w:val="32"/>
          <w:szCs w:val="32"/>
          <w:lang w:val="zh-CN" w:eastAsia="zh-CN" w:bidi="ar-SA"/>
        </w:rPr>
        <w:t>万元，占</w:t>
      </w:r>
      <w:r>
        <w:rPr>
          <w:rFonts w:hint="eastAsia" w:ascii="仿宋_GB2312" w:hAnsi="Times New Roman" w:eastAsia="仿宋_GB2312" w:cs="Times New Roman"/>
          <w:color w:val="auto"/>
          <w:spacing w:val="0"/>
          <w:kern w:val="2"/>
          <w:sz w:val="32"/>
          <w:szCs w:val="32"/>
          <w:lang w:val="zh-CN" w:eastAsia="zh-CN" w:bidi="ar-SA"/>
        </w:rPr>
        <w:t>5.71</w:t>
      </w:r>
      <w:r>
        <w:rPr>
          <w:rFonts w:hint="default" w:ascii="仿宋_GB2312" w:hAnsi="Times New Roman"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6.4</w:t>
      </w:r>
      <w:r>
        <w:rPr>
          <w:rFonts w:hint="eastAsia" w:eastAsia="仿宋_GB2312" w:cs="Times New Roman"/>
          <w:color w:val="auto"/>
          <w:kern w:val="2"/>
          <w:sz w:val="32"/>
          <w:szCs w:val="32"/>
          <w:highlight w:val="none"/>
          <w:lang w:val="en-US" w:eastAsia="zh-CN" w:bidi="ar-SA"/>
        </w:rPr>
        <w:t>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eastAsia="zh-CN"/>
        </w:rPr>
        <w:t>2023年在职人员普调增资；社保、医保、公积金缴费基数增长。</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2.住房保障支出（类）住房改革支出（款）住房公积金（项）:支出决算数为5.02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w:t>
      </w:r>
      <w:r>
        <w:rPr>
          <w:rFonts w:hint="eastAsia" w:eastAsia="仿宋_GB2312" w:cs="Times New Roman"/>
          <w:color w:val="auto"/>
          <w:kern w:val="2"/>
          <w:sz w:val="32"/>
          <w:szCs w:val="32"/>
          <w:highlight w:val="none"/>
          <w:lang w:val="en-US" w:eastAsia="zh-CN" w:bidi="ar-SA"/>
        </w:rPr>
        <w:t>82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eastAsia="zh-CN"/>
        </w:rPr>
        <w:t>2023年在职人员普调增资；社保、医保、公积金缴费基数增长。</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3.一般公共服务支出（类）政府办公厅（室）及相关机构事务（款）事业运行（项）:支出决算数为73.78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5.22%，主要原因是：</w:t>
      </w:r>
      <w:r>
        <w:rPr>
          <w:rFonts w:hint="eastAsia" w:ascii="仿宋_GB2312" w:eastAsia="仿宋_GB2312"/>
          <w:color w:val="auto"/>
          <w:spacing w:val="0"/>
          <w:sz w:val="32"/>
          <w:szCs w:val="32"/>
          <w:highlight w:val="none"/>
          <w:lang w:eastAsia="zh-CN"/>
        </w:rPr>
        <w:t>2023年在职人员普调增资；社保、医保、公积金缴费基数增长</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4.社会保障和就业支出（类）行政事业单位养老支出（款）机关事业单位基本养老保险缴费支出（项）:支出决算数为6.37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19.74%，主要原因是：</w:t>
      </w:r>
      <w:r>
        <w:rPr>
          <w:rFonts w:hint="eastAsia" w:ascii="仿宋_GB2312" w:eastAsia="仿宋_GB2312"/>
          <w:color w:val="auto"/>
          <w:spacing w:val="0"/>
          <w:sz w:val="32"/>
          <w:szCs w:val="32"/>
          <w:highlight w:val="none"/>
          <w:lang w:eastAsia="zh-CN"/>
        </w:rPr>
        <w:t>2023年在职人员普调增资；社保、医保、公积金缴费基数增长。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color w:val="auto"/>
          <w:kern w:val="0"/>
          <w:sz w:val="32"/>
          <w:szCs w:val="32"/>
          <w:highlight w:val="none"/>
          <w:lang w:eastAsia="zh-CN"/>
        </w:rPr>
      </w:pPr>
      <w:r>
        <w:rPr>
          <w:rFonts w:hint="eastAsia" w:ascii="黑体" w:hAnsi="黑体" w:eastAsia="黑体" w:cs="黑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87.97</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72.73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基本工资、津贴补贴、奖金、绩效工资、机关事业单位基本养老保险缴费、职工基本医疗保险缴费、其他社会保障缴费、住房公积金、其他工资福利支出、奖励金。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15.24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办公费、水费、电费、邮电费、取暖费、差旅费、维修（护）费、劳务费、工会经费、其他商品和服务支出。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rPr>
        <w:t>本</w:t>
      </w:r>
      <w:r>
        <w:rPr>
          <w:rFonts w:hint="eastAsia" w:ascii="仿宋_GB2312" w:eastAsia="仿宋_GB2312"/>
          <w:color w:val="auto"/>
          <w:sz w:val="32"/>
          <w:szCs w:val="32"/>
          <w:highlight w:val="none"/>
          <w:lang w:val="zh-CN" w:eastAsia="zh-CN"/>
        </w:rPr>
        <w:t>单位无三公经费支出。其中：因公出国（境）费支出0.00万元，占0.00%，比上年增加0.00万元，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rPr>
        <w:t>本单位无因公出国（境）费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rPr>
        <w:t>本单位无</w:t>
      </w:r>
      <w:r>
        <w:rPr>
          <w:rFonts w:hint="eastAsia" w:ascii="仿宋_GB2312" w:eastAsia="仿宋_GB2312"/>
          <w:color w:val="auto"/>
          <w:sz w:val="32"/>
          <w:szCs w:val="32"/>
          <w:highlight w:val="none"/>
          <w:lang w:val="zh-CN" w:eastAsia="zh-CN"/>
        </w:rPr>
        <w:t>公务用车购置及运行维护费支出；公务接待费支出0.00万元，占0.00%，比上年增加0.00万元，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rPr>
        <w:t>本单位无公务接待费经费预算</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因公出国（境）费支出0.00万元，无此项开支内容。单位全年安排的因公出国（境）团组0个，因公出国（境）0人次。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rPr>
        <w:t>本单位无</w:t>
      </w:r>
      <w:r>
        <w:rPr>
          <w:rFonts w:hint="eastAsia" w:ascii="仿宋_GB2312" w:eastAsia="仿宋_GB2312"/>
          <w:color w:val="auto"/>
          <w:sz w:val="32"/>
          <w:szCs w:val="32"/>
          <w:highlight w:val="none"/>
          <w:lang w:val="zh-CN" w:eastAsia="zh-CN"/>
        </w:rPr>
        <w:t>公务用车运行维护费开支。公务用车购置数0辆，公务用车保有量0辆。国有资产占用情况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rPr>
        <w:t>本单位无车辆，预决算无差异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rPr>
        <w:t>本单位无公务接待费经费预算</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本单位未安排财政拨款“三公”经费支出，预决算无差异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0.00万元，决算数0.00万元，预决算差异率0.00%，主要原因是：本</w:t>
      </w:r>
      <w:r>
        <w:rPr>
          <w:rFonts w:hint="eastAsia" w:ascii="仿宋_GB2312" w:eastAsia="仿宋_GB2312"/>
          <w:color w:val="auto"/>
          <w:sz w:val="32"/>
          <w:szCs w:val="32"/>
          <w:highlight w:val="none"/>
          <w:lang w:val="en-US" w:eastAsia="zh-CN"/>
        </w:rPr>
        <w:t>单位未安排因公出国（境）费，预决算无差异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本单位未安排公务用车购置费，预决算无差异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我单位未安排公务用车运行费，预决算无差异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我单位未安排公务接待费，预决算无差异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裕民县政务服务中心（事业单位）公用经费15.24万元，</w:t>
      </w:r>
      <w:r>
        <w:rPr>
          <w:rFonts w:hint="eastAsia" w:ascii="仿宋_GB2312" w:eastAsia="仿宋_GB2312"/>
          <w:color w:val="auto"/>
          <w:sz w:val="32"/>
          <w:szCs w:val="32"/>
          <w:highlight w:val="none"/>
          <w:lang w:val="zh-CN" w:eastAsia="zh-CN"/>
        </w:rPr>
        <w:t>比上年增加3.04万元，增长24.9</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专项办公资金、</w:t>
      </w:r>
      <w:r>
        <w:rPr>
          <w:rFonts w:hint="eastAsia" w:ascii="仿宋_GB2312" w:eastAsia="仿宋_GB2312"/>
          <w:color w:val="auto"/>
          <w:sz w:val="32"/>
          <w:szCs w:val="32"/>
          <w:highlight w:val="none"/>
          <w:lang w:eastAsia="zh-CN"/>
        </w:rPr>
        <w:t>工会经费及福利费增加</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2023年度政府采购支出总额0.00万元，其中：政府采购货物支出0.00万元、政府采购工程支出0.00万元、政府采购服务支出0.00万元。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授予中小企业合同金额0.00万元，占政府采购支出总额的0.00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，其中：授予小微企业合同金额0.00万元，占政府采购支出总额的0.00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173.86</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屋0.0平方米，价值0.00万元。车辆0辆，价值0.00万元，其中：副部（省）级及以上领导用车0辆、主要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用车0辆、其他用车0辆，其他用车主要是：本单位无其他用车；单价100万元（含）以上设备（不含车辆）0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val="en-US" w:eastAsia="zh-CN"/>
        </w:rPr>
      </w:pPr>
      <w:bookmarkStart w:id="28" w:name="_Toc11283"/>
      <w:bookmarkStart w:id="29" w:name="_Toc435"/>
      <w:r>
        <w:rPr>
          <w:rFonts w:hint="eastAsia" w:ascii="黑体" w:hAnsi="黑体" w:eastAsia="黑体" w:cs="宋体"/>
          <w:bCs/>
          <w:color w:val="auto"/>
          <w:kern w:val="0"/>
          <w:sz w:val="32"/>
          <w:szCs w:val="32"/>
          <w:lang w:val="en-US" w:eastAsia="zh-CN" w:bidi="ar-SA"/>
        </w:rPr>
        <w:t>十一、</w:t>
      </w:r>
      <w:r>
        <w:rPr>
          <w:rFonts w:hint="eastAsia" w:ascii="黑体" w:hAnsi="黑体" w:eastAsia="黑体" w:cs="宋体"/>
          <w:bCs/>
          <w:color w:val="auto"/>
          <w:kern w:val="0"/>
          <w:sz w:val="32"/>
          <w:szCs w:val="32"/>
          <w:highlight w:val="none"/>
          <w:lang w:eastAsia="zh-CN"/>
        </w:rPr>
        <w:t>预算绩效的情况说</w:t>
      </w:r>
      <w:bookmarkEnd w:id="28"/>
      <w:bookmarkEnd w:id="29"/>
      <w:r>
        <w:rPr>
          <w:rFonts w:hint="eastAsia" w:ascii="黑体" w:hAnsi="黑体" w:eastAsia="黑体" w:cs="宋体"/>
          <w:bCs/>
          <w:color w:val="auto"/>
          <w:kern w:val="0"/>
          <w:sz w:val="32"/>
          <w:szCs w:val="32"/>
          <w:highlight w:val="none"/>
          <w:lang w:val="en-US" w:eastAsia="zh-CN"/>
        </w:rPr>
        <w:t>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kern w:val="0"/>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根据预算绩效管理要求，我单位2023年度预算绩效管理整体支出绩效自评表1个，全年预算总额87.97万元，实际执行总额87.97万元；预算绩效评价项目0个，全年预算数0万元，全年执行数0万元。预算绩效</w:t>
      </w:r>
      <w:bookmarkStart w:id="48" w:name="_GoBack"/>
      <w:bookmarkEnd w:id="48"/>
      <w:r>
        <w:rPr>
          <w:rFonts w:hint="eastAsia" w:ascii="仿宋_GB2312" w:eastAsia="仿宋_GB2312"/>
          <w:color w:val="auto"/>
          <w:sz w:val="32"/>
          <w:szCs w:val="32"/>
          <w:highlight w:val="none"/>
          <w:lang w:val="en-US" w:eastAsia="zh-CN"/>
        </w:rPr>
        <w:t xml:space="preserve">管理取得的成效：一是人员支出、公用经费、专项资金的支出及时、有效，财政资金保障及时；已完成年初制定的重点工作、工作计划、绩效目标等；达到了预期的效果；二是不存在违规发放人员工资、违规支出资金的情况。发现的问题及原因：一是年初预算工作不扎实；二是在工作期间调整经济分类及用途；三是部门决算公开不规范、不够细化等现象。下一步改进措施：一是做好预算编制工作，进一步完善职工工资、福利费、社会保障费、住房公积金、公用经费等编制制度；二是科学合理确定人员支出定额和公用支出定额，确保财政资金正常开支；三是项目按计划组织实施，规划预决算填报及公开制度。具体项目自评情况附项目支出绩效自评表。 </w:t>
      </w:r>
      <w:r>
        <w:rPr>
          <w:rFonts w:hint="eastAsia" w:ascii="黑体" w:hAnsi="黑体" w:eastAsia="黑体" w:cs="宋体"/>
          <w:bCs/>
          <w:color w:val="auto"/>
          <w:kern w:val="0"/>
          <w:sz w:val="32"/>
          <w:szCs w:val="32"/>
          <w:highlight w:val="none"/>
          <w:lang w:val="en-US" w:eastAsia="zh-CN"/>
        </w:rPr>
        <w:t xml:space="preserve">        </w:t>
      </w:r>
      <w:r>
        <w:rPr>
          <w:rFonts w:hint="eastAsia" w:ascii="黑体" w:hAnsi="黑体" w:eastAsia="黑体" w:cs="宋体"/>
          <w:bCs/>
          <w:kern w:val="0"/>
          <w:sz w:val="32"/>
          <w:szCs w:val="32"/>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kern w:val="0"/>
          <w:sz w:val="32"/>
          <w:szCs w:val="32"/>
          <w:highlight w:val="none"/>
          <w:lang w:val="en-US" w:eastAsia="zh-CN"/>
        </w:rPr>
        <w:t>十二</w:t>
      </w:r>
      <w:r>
        <w:rPr>
          <w:rFonts w:hint="eastAsia" w:ascii="黑体" w:hAnsi="黑体" w:eastAsia="黑体" w:cs="宋体"/>
          <w:bCs/>
          <w:color w:val="auto"/>
          <w:kern w:val="0"/>
          <w:sz w:val="32"/>
          <w:szCs w:val="32"/>
          <w:lang w:val="en-US" w:eastAsia="zh-CN" w:bidi="ar-SA"/>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30" w:name="_Toc3250"/>
      <w:bookmarkStart w:id="31" w:name="_Toc24143"/>
      <w:r>
        <w:rPr>
          <w:rFonts w:hint="eastAsia" w:ascii="仿宋_GB2312" w:eastAsia="仿宋_GB2312"/>
          <w:color w:val="auto"/>
          <w:sz w:val="32"/>
          <w:szCs w:val="32"/>
          <w:highlight w:val="none"/>
          <w:lang w:val="en-US" w:eastAsia="zh-CN"/>
        </w:rPr>
        <w:t>我单位授予中小企业合同金额0万元、授予小微企业合同金额为0万元，原因：本年度无此项支出。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640FF1"/>
    <w:rsid w:val="039F47CE"/>
    <w:rsid w:val="03E05CE8"/>
    <w:rsid w:val="03F973EE"/>
    <w:rsid w:val="043E5B56"/>
    <w:rsid w:val="04C04386"/>
    <w:rsid w:val="04D96608"/>
    <w:rsid w:val="04FA68C4"/>
    <w:rsid w:val="053F5AE6"/>
    <w:rsid w:val="057C0B0F"/>
    <w:rsid w:val="05EF4B48"/>
    <w:rsid w:val="05F76ECA"/>
    <w:rsid w:val="0674214C"/>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020A86"/>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7C0400"/>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D06D83"/>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17371"/>
    <w:rsid w:val="3DCC2473"/>
    <w:rsid w:val="3DD91368"/>
    <w:rsid w:val="3DEB0883"/>
    <w:rsid w:val="3E2527BF"/>
    <w:rsid w:val="3E520779"/>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B582A"/>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5B4308"/>
    <w:rsid w:val="4A7B2875"/>
    <w:rsid w:val="4A934476"/>
    <w:rsid w:val="4AAA220A"/>
    <w:rsid w:val="4AE12E67"/>
    <w:rsid w:val="4B4C0111"/>
    <w:rsid w:val="4B8553A9"/>
    <w:rsid w:val="4BDB3730"/>
    <w:rsid w:val="4BDF1971"/>
    <w:rsid w:val="4C200F7A"/>
    <w:rsid w:val="4CEE3180"/>
    <w:rsid w:val="4D0F4AF6"/>
    <w:rsid w:val="4DF94F37"/>
    <w:rsid w:val="4E0A1DD5"/>
    <w:rsid w:val="4E3160E5"/>
    <w:rsid w:val="4E4D37AF"/>
    <w:rsid w:val="4E8C6496"/>
    <w:rsid w:val="4EF72F8A"/>
    <w:rsid w:val="4EFD18DE"/>
    <w:rsid w:val="4F144236"/>
    <w:rsid w:val="4F663C87"/>
    <w:rsid w:val="4F7E29A8"/>
    <w:rsid w:val="4F9E1FFC"/>
    <w:rsid w:val="50447CC2"/>
    <w:rsid w:val="50874A7C"/>
    <w:rsid w:val="50895EE7"/>
    <w:rsid w:val="50921B9D"/>
    <w:rsid w:val="50D16158"/>
    <w:rsid w:val="50DB5F45"/>
    <w:rsid w:val="51025EB1"/>
    <w:rsid w:val="51141503"/>
    <w:rsid w:val="5152765A"/>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6269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footnote text"/>
    <w:basedOn w:val="1"/>
    <w:qFormat/>
    <w:uiPriority w:val="0"/>
    <w:pPr>
      <w:snapToGrid w:val="0"/>
      <w:jc w:val="left"/>
    </w:pPr>
    <w:rPr>
      <w:sz w:val="18"/>
    </w:rPr>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4776</Words>
  <Characters>5289</Characters>
  <Lines>0</Lines>
  <Paragraphs>0</Paragraphs>
  <TotalTime>21</TotalTime>
  <ScaleCrop>false</ScaleCrop>
  <LinksUpToDate>false</LinksUpToDate>
  <CharactersWithSpaces>5312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2024-12-30T08:29:21Z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617781DF64634CAB9E9553883CCECA66</vt:lpwstr>
  </property>
</Properties>
</file>