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裕民县人力资源和社会保障局</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一</w:t>
      </w:r>
      <w:r>
        <w:rPr>
          <w:rFonts w:hint="eastAsia" w:ascii="仿宋" w:hAnsi="仿宋" w:eastAsia="仿宋"/>
          <w:kern w:val="0"/>
          <w:sz w:val="32"/>
          <w:szCs w:val="32"/>
        </w:rPr>
        <w:t>）贯彻执行国家、自治区、地区人力资源和社会保障事业发展规划、政策、法律、法规；研究拟订全县人力资源和社会保障事业发展规划和年度工作计划并组织实施和监督检查。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二</w:t>
      </w:r>
      <w:r>
        <w:rPr>
          <w:rFonts w:hint="eastAsia" w:ascii="仿宋" w:hAnsi="仿宋" w:eastAsia="仿宋"/>
          <w:kern w:val="0"/>
          <w:sz w:val="32"/>
          <w:szCs w:val="32"/>
        </w:rPr>
        <w:t>）负责全县人力资源规划、开发工作，依据人力资源政策、法规与相关部门协同拟订符合本县人力资源流动政策并组织实施，建立并规范全县人力资源市场，促进人力资源合理流动、有效配置。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三</w:t>
      </w:r>
      <w:r>
        <w:rPr>
          <w:rFonts w:hint="eastAsia" w:ascii="仿宋" w:hAnsi="仿宋" w:eastAsia="仿宋"/>
          <w:kern w:val="0"/>
          <w:sz w:val="32"/>
          <w:szCs w:val="32"/>
        </w:rPr>
        <w:t>）负责促进就业和创业工作。执行国家、自治区和地区促进城乡就业的基本政策和措施，拟订全县城乡就业发展规划并组织实施，完善公共就业服务体系；组织落实就业援助制度、职业资格制度，统筹建立面向城乡劳动者的职业培训制度，承担职业技能鉴定工作；组织落实高校毕业生就业政策，推动高技能人才、农村实用人才培养和激励政策落实，鼓励和支持个体私营等非公有制经济和中小企业发展壮大，指导和促进高校毕业生失业人员和返乡农民工创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四</w:t>
      </w:r>
      <w:r>
        <w:rPr>
          <w:rFonts w:hint="eastAsia" w:ascii="仿宋" w:hAnsi="仿宋" w:eastAsia="仿宋"/>
          <w:kern w:val="0"/>
          <w:sz w:val="32"/>
          <w:szCs w:val="32"/>
        </w:rPr>
        <w:t>）贯彻执行国家、自治区、地区城乡养老、失业、医疗、工伤、生育、社会保险及其补充保险政策和标准；贯彻执行机关企事业单位及农村社会基本养老保险政策；执行自治区、地区社会保险基金收缴、支付、管理和运营政策。对社会保险基金管理实施行政监督审查，实施预防、调节和控制，保持社会保险基金总体收支平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五</w:t>
      </w:r>
      <w:r>
        <w:rPr>
          <w:rFonts w:hint="eastAsia" w:ascii="仿宋" w:hAnsi="仿宋" w:eastAsia="仿宋"/>
          <w:kern w:val="0"/>
          <w:sz w:val="32"/>
          <w:szCs w:val="32"/>
        </w:rPr>
        <w:t>）全面贯彻实施《中华人民共和国公务员法》，依法对公务员法律、法规实施情况进行监督、检查；与有关部门协同拟订全县国家公务员各项管理制度，负责全县行政机关公务员综合管理；依法对公务员实施监督，负责行政机关公务员信息统计管理工作及全县行政机关公务员、参照公务员管理单位工作人员的登记工作。按照管理权限负责公务员调配、录用、考核、奖惩、任用、培训、辞退等综合管理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六</w:t>
      </w:r>
      <w:r>
        <w:rPr>
          <w:rFonts w:hint="eastAsia" w:ascii="仿宋" w:hAnsi="仿宋" w:eastAsia="仿宋"/>
          <w:kern w:val="0"/>
          <w:sz w:val="32"/>
          <w:szCs w:val="32"/>
        </w:rPr>
        <w:t>）贯彻执行国家、自治区、地区机关、事业单位增加人员计划的审核及其工作人员正常晋升工资档次的审批工作；参与县级劳动模范评定工作。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七</w:t>
      </w:r>
      <w:r>
        <w:rPr>
          <w:rFonts w:hint="eastAsia" w:ascii="仿宋" w:hAnsi="仿宋" w:eastAsia="仿宋"/>
          <w:kern w:val="0"/>
          <w:sz w:val="32"/>
          <w:szCs w:val="32"/>
        </w:rPr>
        <w:t>）研究拟订全县事业单位人事制度改革方案，指导各相关业务主管部门拟订事业单位人员和机关工勤人员管理政策并组织实施；参与人才管理工作，推进专业技术人员管理和继续教育政策的实施；搞好各类人事考试培训工作；推进深化职称制度改革工作，综合管理职称评聘等工作；负责高层次专业技术人才选拔和培养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八</w:t>
      </w:r>
      <w:r>
        <w:rPr>
          <w:rFonts w:hint="eastAsia" w:ascii="仿宋" w:hAnsi="仿宋" w:eastAsia="仿宋"/>
          <w:kern w:val="0"/>
          <w:sz w:val="32"/>
          <w:szCs w:val="32"/>
        </w:rPr>
        <w:t>）负责劳动合同执行情况的监督管理工作，督促用人单位依法签订劳动合同；依据职业病诊断结果，做好职业病人的社会保障工作。会同有关部门组织落实农民工工作综合政策，拟订农民工工作规划，推动农民工相关政策的落实，协调解决重点难点问题，维护农民工合法权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九</w:t>
      </w:r>
      <w:r>
        <w:rPr>
          <w:rFonts w:hint="eastAsia" w:ascii="仿宋" w:hAnsi="仿宋" w:eastAsia="仿宋"/>
          <w:kern w:val="0"/>
          <w:sz w:val="32"/>
          <w:szCs w:val="32"/>
        </w:rPr>
        <w:t>）实施劳动、人事争议调解仲裁制度；认真执行国家、自治区劳动关系政策，完善劳动协调机制；指导人事劳动争议处理和仲裁，监督、落实、消除非法使用童工政策，落实女工、未成年人的特殊劳动保护政策；组织实施劳动监察，协调劳动者维权工作，依法查处重大案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十</w:t>
      </w:r>
      <w:r>
        <w:rPr>
          <w:rFonts w:hint="eastAsia" w:ascii="仿宋" w:hAnsi="仿宋" w:eastAsia="仿宋"/>
          <w:kern w:val="0"/>
          <w:sz w:val="32"/>
          <w:szCs w:val="32"/>
        </w:rPr>
        <w:t>）拟订吸引国（境）外专家、留学人员来本县工作或定居政策；指导和协调全县人力资源和社会保障方面的国际交流与合作。负责引进国（境）外人才和智力工作职责，加大引进国外智力和项目的力度，扩大国际合作与交流，强化出国（境）培训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十一</w:t>
      </w:r>
      <w:r>
        <w:rPr>
          <w:rFonts w:hint="eastAsia" w:ascii="仿宋" w:hAnsi="仿宋" w:eastAsia="仿宋"/>
          <w:kern w:val="0"/>
          <w:sz w:val="32"/>
          <w:szCs w:val="32"/>
        </w:rPr>
        <w:t xml:space="preserve"> ）研究拟订政府奖励表彰制度，协调政府系统奖励表彰工作；审核以县政府名义实施的奖励表彰活动和奖励表彰人员。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十二</w:t>
      </w:r>
      <w:r>
        <w:rPr>
          <w:rFonts w:hint="eastAsia" w:ascii="仿宋" w:hAnsi="仿宋" w:eastAsia="仿宋"/>
          <w:kern w:val="0"/>
          <w:sz w:val="32"/>
          <w:szCs w:val="32"/>
        </w:rPr>
        <w:t>）受理全县人力资源和社会保障方面信访事项，拟订信访维稳工作预案；会同有关部门协调处理有关劳动、人事方面重大信访事件或突发事件。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十三</w:t>
      </w:r>
      <w:r>
        <w:rPr>
          <w:rFonts w:hint="eastAsia" w:ascii="仿宋" w:hAnsi="仿宋" w:eastAsia="仿宋"/>
          <w:kern w:val="0"/>
          <w:sz w:val="32"/>
          <w:szCs w:val="32"/>
        </w:rPr>
        <w:t>）负责指导、监督全县政府系统和县政府各部门的人力资源和社会保障管理工作；承担全县人力资源和社会保障系统的宣传、调研、统计和信息工作；组织建设县人力资源和社会保障系统信息网络。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十四</w:t>
      </w:r>
      <w:r>
        <w:rPr>
          <w:rFonts w:hint="eastAsia" w:ascii="仿宋" w:hAnsi="仿宋" w:eastAsia="仿宋"/>
          <w:kern w:val="0"/>
          <w:sz w:val="32"/>
          <w:szCs w:val="32"/>
        </w:rPr>
        <w:t>）承办县委、县人民政府及上级主管部门交办的其他事项。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裕民县人力资源和社会保障局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81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单位无下属预算单位，</w:t>
      </w:r>
      <w:r>
        <w:rPr>
          <w:rFonts w:hint="eastAsia" w:ascii="仿宋_GB2312" w:eastAsia="仿宋_GB2312"/>
          <w:color w:val="000000" w:themeColor="text1"/>
          <w:sz w:val="32"/>
          <w:szCs w:val="32"/>
          <w14:textFill>
            <w14:solidFill>
              <w14:schemeClr w14:val="tx1"/>
            </w14:solidFill>
          </w14:textFill>
        </w:rPr>
        <w:t>下设11个科室：裕民县人力资源服务中心、裕民县创业服务中心、裕民县劳动和社会保障监察大队、裕民县</w:t>
      </w:r>
      <w:r>
        <w:rPr>
          <w:rFonts w:hint="eastAsia" w:ascii="仿宋_GB2312" w:eastAsia="仿宋_GB2312"/>
          <w:color w:val="000000" w:themeColor="text1"/>
          <w:sz w:val="32"/>
          <w:szCs w:val="32"/>
          <w:lang w:eastAsia="zh-CN"/>
          <w14:textFill>
            <w14:solidFill>
              <w14:schemeClr w14:val="tx1"/>
            </w14:solidFill>
          </w14:textFill>
        </w:rPr>
        <w:t>劳动</w:t>
      </w:r>
      <w:r>
        <w:rPr>
          <w:rFonts w:hint="eastAsia" w:ascii="仿宋_GB2312" w:eastAsia="仿宋_GB2312"/>
          <w:color w:val="000000" w:themeColor="text1"/>
          <w:sz w:val="32"/>
          <w:szCs w:val="32"/>
          <w14:textFill>
            <w14:solidFill>
              <w14:schemeClr w14:val="tx1"/>
            </w14:solidFill>
          </w14:textFill>
        </w:rPr>
        <w:t>人事争议仲裁院、裕民县就业信息服务中心、工资科、专业技术科、社保工资科、财务室、档案室、办公室。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1,814.83万元，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1,811.70万元，使用非财政拨款结余0.00万元，年初结转和结余3.13万元。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1,814.83万元，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1,808.34万元，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0.00万元，年末结转和结余6.49万元。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减少233.70万元</w:t>
      </w:r>
      <w:r>
        <w:rPr>
          <w:rFonts w:hint="eastAsia" w:ascii="仿宋_GB2312" w:eastAsia="仿宋_GB2312"/>
          <w:color w:val="auto"/>
          <w:spacing w:val="0"/>
          <w:sz w:val="32"/>
          <w:szCs w:val="32"/>
          <w:highlight w:val="none"/>
          <w:lang w:eastAsia="zh-CN"/>
        </w:rPr>
        <w:t>，下降11.41%，主要原因是：</w:t>
      </w:r>
      <w:r>
        <w:rPr>
          <w:rFonts w:hint="eastAsia" w:ascii="仿宋_GB2312" w:eastAsia="仿宋_GB2312"/>
          <w:color w:val="auto"/>
          <w:spacing w:val="0"/>
          <w:sz w:val="32"/>
          <w:szCs w:val="32"/>
          <w:highlight w:val="none"/>
          <w:lang w:val="en-US" w:eastAsia="zh-CN"/>
        </w:rPr>
        <w:t>在职人员减少、本年度减少乡村振兴衔接资金。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1,811.70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1,807.42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99.76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4.28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0.24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本年支出1,808.34万元，</w:t>
      </w:r>
      <w:r>
        <w:rPr>
          <w:rFonts w:hint="eastAsia" w:ascii="仿宋_GB2312" w:hAnsi="Times New Roman" w:eastAsia="仿宋_GB2312" w:cs="Times New Roman"/>
          <w:sz w:val="32"/>
          <w:szCs w:val="32"/>
          <w:highlight w:val="none"/>
          <w:lang w:val="zh-CN" w:eastAsia="zh-CN"/>
        </w:rPr>
        <w:t>其中：基本支出939.41万元，占51.95%；项目支出868.93万元，占48.05%；上缴上级支出0.00万元，占0.00%；经营支出0.00万元，占0.00%；对附属单位补助支出0.00万元，占0.00%。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1,807.42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1,807.42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1,807.42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1,807.42</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减少237.60万元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下降11.62%,</w:t>
      </w:r>
      <w:r>
        <w:rPr>
          <w:rFonts w:hint="eastAsia" w:ascii="仿宋_GB2312" w:eastAsia="仿宋_GB2312"/>
          <w:color w:val="auto"/>
          <w:spacing w:val="0"/>
          <w:sz w:val="32"/>
          <w:szCs w:val="32"/>
          <w:highlight w:val="none"/>
          <w:lang w:eastAsia="zh-CN"/>
        </w:rPr>
        <w:t>主要原因是：在职人员减少、本年度乡村振兴衔接项目资金减少。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1,950.48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1,807.42</w:t>
      </w:r>
      <w:r>
        <w:rPr>
          <w:rFonts w:hint="eastAsia" w:ascii="仿宋_GB2312" w:eastAsia="仿宋_GB2312"/>
          <w:color w:val="auto"/>
          <w:spacing w:val="0"/>
          <w:sz w:val="32"/>
          <w:szCs w:val="32"/>
          <w:highlight w:val="none"/>
          <w:lang w:eastAsia="zh-CN"/>
        </w:rPr>
        <w:t>万元，预决算差异率-7.33%，主要原因是：在职人员减少、本年度就业资金提前下达。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red"/>
          <w:lang w:val="en-US" w:eastAsia="zh-CN"/>
        </w:rPr>
      </w:pPr>
      <w:r>
        <w:rPr>
          <w:rFonts w:hint="eastAsia" w:ascii="仿宋_GB2312" w:eastAsia="仿宋_GB2312"/>
          <w:b/>
          <w:bCs/>
          <w:color w:val="auto"/>
          <w:spacing w:val="0"/>
          <w:sz w:val="32"/>
          <w:szCs w:val="32"/>
          <w:highlight w:val="none"/>
          <w:lang w:eastAsia="zh-CN"/>
        </w:rPr>
        <w:t>2023年度一般公共预算财政拨款支出1,807.42万元，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99.95%</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减少237.60万元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下降11.62%,</w:t>
      </w:r>
      <w:r>
        <w:rPr>
          <w:rFonts w:hint="eastAsia" w:ascii="仿宋_GB2312" w:eastAsia="仿宋_GB2312"/>
          <w:color w:val="auto"/>
          <w:spacing w:val="0"/>
          <w:sz w:val="32"/>
          <w:szCs w:val="32"/>
          <w:highlight w:val="none"/>
          <w:lang w:eastAsia="zh-CN"/>
        </w:rPr>
        <w:t>主要原因是：在职人员减少、本年度乡村振兴衔接项目资金减少。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1,950.48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1,807.42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-7.33%</w:t>
      </w:r>
      <w:r>
        <w:rPr>
          <w:rFonts w:hint="eastAsia" w:ascii="仿宋_GB2312" w:eastAsia="仿宋_GB2312"/>
          <w:color w:val="auto"/>
          <w:spacing w:val="0"/>
          <w:sz w:val="32"/>
          <w:szCs w:val="32"/>
          <w:highlight w:val="none"/>
          <w:lang w:eastAsia="zh-CN"/>
        </w:rPr>
        <w:t>，主要原因是：在职人员减少、本年度就业资金提前下达。</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119.22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6.60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1,570.46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86.89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48.17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2.67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65.75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3.64</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1.卫生健康支出（类）行政事业单位医疗（款）行政单位医疗（项）:支出决算数为37.02万元，比上年决算增加0.44万元，增长1.19%，主要原因是：</w:t>
      </w:r>
      <w:r>
        <w:rPr>
          <w:rFonts w:hint="eastAsia" w:ascii="仿宋_GB2312" w:hAnsi="Times New Roman" w:eastAsia="仿宋_GB2312" w:cs="Times New Roman"/>
          <w:color w:val="auto"/>
          <w:spacing w:val="0"/>
          <w:kern w:val="2"/>
          <w:sz w:val="32"/>
          <w:szCs w:val="32"/>
          <w:highlight w:val="none"/>
          <w:lang w:val="zh-CN" w:eastAsia="zh-CN" w:bidi="ar-SA"/>
        </w:rPr>
        <w:t>在职人员医疗基数增大。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2.卫</w:t>
      </w:r>
      <w:r>
        <w:rPr>
          <w:rFonts w:hint="eastAsia" w:ascii="Times New Roman" w:hAnsi="Times New Roman" w:eastAsia="仿宋_GB2312" w:cs="Times New Roman"/>
          <w:color w:val="auto"/>
          <w:kern w:val="2"/>
          <w:sz w:val="32"/>
          <w:szCs w:val="32"/>
          <w:highlight w:val="none"/>
          <w:lang w:val="en-US" w:eastAsia="zh-CN" w:bidi="ar-SA"/>
        </w:rPr>
        <w:t>生健康支出（类）行政事业单位医疗（款）公务员医疗补助（项）:支出决算数为</w:t>
      </w:r>
      <w:r>
        <w:rPr>
          <w:rFonts w:hint="eastAsia" w:ascii="仿宋_GB2312" w:hAnsi="Times New Roman" w:eastAsia="仿宋_GB2312" w:cs="Times New Roman"/>
          <w:color w:val="auto"/>
          <w:spacing w:val="0"/>
          <w:kern w:val="2"/>
          <w:sz w:val="32"/>
          <w:szCs w:val="32"/>
          <w:highlight w:val="none"/>
          <w:lang w:val="en-US" w:eastAsia="zh-CN" w:bidi="ar-SA"/>
        </w:rPr>
        <w:t>11.15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color w:val="auto"/>
          <w:spacing w:val="0"/>
          <w:kern w:val="2"/>
          <w:sz w:val="32"/>
          <w:szCs w:val="32"/>
          <w:highlight w:val="none"/>
          <w:lang w:val="en-US" w:eastAsia="zh-CN" w:bidi="ar-SA"/>
        </w:rPr>
        <w:t>0.11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color w:val="auto"/>
          <w:spacing w:val="0"/>
          <w:kern w:val="2"/>
          <w:sz w:val="32"/>
          <w:szCs w:val="32"/>
          <w:highlight w:val="none"/>
          <w:lang w:val="en-US" w:eastAsia="zh-CN" w:bidi="ar-SA"/>
        </w:rPr>
        <w:t>1.01%，主要原因是：2023年公务员3人退休，新增公务员1人。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农林水支出（类）巩固脱贫攻坚成果衔接乡村振兴（款）生产发展（项）:支出决算数为0.08万元，比上年决算减少202.93万元，下降99.96%，主要原因是：乡村振兴衔接资金项目减少，本年度新增外出务工人员交通补助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4.住房保障支出（类）住房改革支出（款）住房公积金（项）:支出决算数为65.75万元，比上年决算增加3.88万元，增长6.27%，主要原因是：住房公积金基数</w:t>
      </w:r>
      <w:r>
        <w:rPr>
          <w:rFonts w:hint="eastAsia" w:ascii="仿宋_GB2312" w:eastAsia="仿宋_GB2312" w:cs="Times New Roman"/>
          <w:color w:val="auto"/>
          <w:spacing w:val="0"/>
          <w:kern w:val="2"/>
          <w:sz w:val="32"/>
          <w:szCs w:val="32"/>
          <w:highlight w:val="none"/>
          <w:lang w:val="en-US" w:eastAsia="zh-CN" w:bidi="ar-SA"/>
        </w:rPr>
        <w:t>增加</w:t>
      </w:r>
      <w:r>
        <w:rPr>
          <w:rFonts w:hint="eastAsia"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5.社会保障和就业支出（类）就业补助（款）职业培训补贴（项）:支出决算数为87.86万元，比上年决算增加87.86万元，增长100%，主要原因是：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科目调整，本年度使用职业技能补贴（项）。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6.社会保障和就业支出（类）就业补助（款）促进创业补贴（项）:支出决算数为0.60万元，比上年决算增加0.60万元，增长100%，主要原因是：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科目调整，本年度使用促进创业补贴（项）。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7.社会保障和就业支出（类）就业补助（款）就业见习补贴（项）:支出决算数为60.83万元，比上年决算增加60.83万元，增长100%，主要原因是：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科目调整，本年度使用就业补贴（项）。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8.社会保障和就业支出（类）就业补助（款）其他就业补助支出（项）:支出决算数为10.20万元，比上年决算减少750.48万元，下降98.66%，主要原因是：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en-US" w:eastAsia="zh-CN" w:bidi="ar-SA"/>
        </w:rPr>
        <w:t>科目调整，新增明细科目：职业培训补贴（项）、促进创业补贴（项）、就业见习补贴（项）、公益性岗位补贴（项）、社会保险补贴（项）</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9.社会保障和就业支出（类）行政事业单位养老支出（款）行政单位离退休（项）:支出决算数为23.73万元，比上年决算减少0.33万元，下降1.</w:t>
      </w:r>
      <w:r>
        <w:rPr>
          <w:rFonts w:hint="eastAsia" w:ascii="仿宋_GB2312" w:eastAsia="仿宋_GB2312" w:cs="Times New Roman"/>
          <w:color w:val="auto"/>
          <w:spacing w:val="0"/>
          <w:kern w:val="2"/>
          <w:sz w:val="32"/>
          <w:szCs w:val="32"/>
          <w:highlight w:val="none"/>
          <w:lang w:val="en-US" w:eastAsia="zh-CN" w:bidi="ar-SA"/>
        </w:rPr>
        <w:t>37</w:t>
      </w:r>
      <w:r>
        <w:rPr>
          <w:rFonts w:hint="eastAsia" w:ascii="仿宋_GB2312" w:hAnsi="Times New Roman" w:eastAsia="仿宋_GB2312" w:cs="Times New Roman"/>
          <w:color w:val="auto"/>
          <w:spacing w:val="0"/>
          <w:kern w:val="2"/>
          <w:sz w:val="32"/>
          <w:szCs w:val="32"/>
          <w:highlight w:val="none"/>
          <w:lang w:val="en-US" w:eastAsia="zh-CN" w:bidi="ar-SA"/>
        </w:rPr>
        <w:t>%，主要原因是：2023年公务员3人退休，新增公务员1人。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10.社会保障和就业支出（类）企业改革补助（款）其他企业改革发展补助（项）:支出决算数为8.82万元，比上年决算减少1.34万元，下降13.</w:t>
      </w:r>
      <w:r>
        <w:rPr>
          <w:rFonts w:hint="eastAsia" w:ascii="仿宋_GB2312" w:eastAsia="仿宋_GB2312" w:cs="Times New Roman"/>
          <w:color w:val="auto"/>
          <w:spacing w:val="0"/>
          <w:kern w:val="2"/>
          <w:sz w:val="32"/>
          <w:szCs w:val="32"/>
          <w:highlight w:val="none"/>
          <w:lang w:val="en-US" w:eastAsia="zh-CN" w:bidi="ar-SA"/>
        </w:rPr>
        <w:t>19</w:t>
      </w:r>
      <w:r>
        <w:rPr>
          <w:rFonts w:hint="eastAsia" w:ascii="仿宋_GB2312" w:hAnsi="Times New Roman" w:eastAsia="仿宋_GB2312" w:cs="Times New Roman"/>
          <w:color w:val="auto"/>
          <w:spacing w:val="0"/>
          <w:kern w:val="2"/>
          <w:sz w:val="32"/>
          <w:szCs w:val="32"/>
          <w:highlight w:val="none"/>
          <w:lang w:val="en-US" w:eastAsia="zh-CN" w:bidi="ar-SA"/>
        </w:rPr>
        <w:t>%，主要原因是：比上年度</w:t>
      </w:r>
      <w:r>
        <w:rPr>
          <w:rFonts w:hint="eastAsia" w:ascii="仿宋_GB2312" w:hAnsi="Times New Roman" w:eastAsia="仿宋_GB2312" w:cs="Times New Roman"/>
          <w:color w:val="auto"/>
          <w:spacing w:val="0"/>
          <w:kern w:val="2"/>
          <w:sz w:val="32"/>
          <w:szCs w:val="32"/>
          <w:highlight w:val="none"/>
          <w:lang w:val="zh-CN" w:eastAsia="zh-CN" w:bidi="ar-SA"/>
        </w:rPr>
        <w:t>人员减少</w:t>
      </w:r>
      <w:r>
        <w:rPr>
          <w:rFonts w:hint="eastAsia" w:ascii="仿宋_GB2312" w:hAnsi="Times New Roman" w:eastAsia="仿宋_GB2312" w:cs="Times New Roman"/>
          <w:color w:val="auto"/>
          <w:spacing w:val="0"/>
          <w:kern w:val="2"/>
          <w:sz w:val="32"/>
          <w:szCs w:val="32"/>
          <w:highlight w:val="none"/>
          <w:lang w:val="en-US" w:eastAsia="zh-CN" w:bidi="ar-SA"/>
        </w:rPr>
        <w:t>10人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11.社会保障和就业支出（类）就业补助（款）公益性岗位补贴（项）:支出决算数为340.65万元，比上年决算增加340.65万元，增长100%，主要原因是：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科目调整，新增公</w:t>
      </w:r>
      <w:r>
        <w:rPr>
          <w:rFonts w:hint="eastAsia" w:ascii="仿宋_GB2312" w:hAnsi="Times New Roman" w:eastAsia="仿宋_GB2312" w:cs="Times New Roman"/>
          <w:color w:val="auto"/>
          <w:spacing w:val="0"/>
          <w:kern w:val="2"/>
          <w:sz w:val="32"/>
          <w:szCs w:val="32"/>
          <w:highlight w:val="none"/>
          <w:lang w:val="en-US" w:eastAsia="zh-CN" w:bidi="ar-SA"/>
        </w:rPr>
        <w:t>益性岗位补贴（项）</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12.社会保障和就业支出（类）行政事业单位养老支出（款）机关事业单位职业年金缴费支出（项）:支出决算数为19.94万元，比上年决算减少6.75万元，下降25.28%，主要原因是：2023年公务员3人退休，新增公务员1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13.社会保障和就业支出（类）就业补助（款）社会保险补贴（项）:支出决算数为246.99万元，比上年决算增加246.99万元，增长100%，主要原因是：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科目调整，新增</w:t>
      </w:r>
      <w:r>
        <w:rPr>
          <w:rFonts w:hint="eastAsia" w:ascii="仿宋_GB2312" w:hAnsi="Times New Roman" w:eastAsia="仿宋_GB2312" w:cs="Times New Roman"/>
          <w:color w:val="auto"/>
          <w:spacing w:val="0"/>
          <w:kern w:val="2"/>
          <w:sz w:val="32"/>
          <w:szCs w:val="32"/>
          <w:highlight w:val="none"/>
          <w:lang w:val="en-US" w:eastAsia="zh-CN" w:bidi="ar-SA"/>
        </w:rPr>
        <w:t>社会保险补贴（项）</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14.社会保障和就业支出（类）人力资源和社会保障管理事务（款）社会保险经办机构（项）:支出决算数为2.90万元，比上年决算减少127.52万元，下降97.78%，主要原因是：本年度社保中心人员经费、运转类经费调整到人力资源和社会保障管理事务（款）行政运行（项）中</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15.社会保障和就业支出（类）行政事业单位养老支出（款）机关事业单位基本养老保险缴费支出（项）:支出决算数为83.27万元，比上年决算增加9.4</w:t>
      </w:r>
      <w:r>
        <w:rPr>
          <w:rFonts w:hint="eastAsia" w:ascii="仿宋_GB2312" w:eastAsia="仿宋_GB2312" w:cs="Times New Roman"/>
          <w:color w:val="auto"/>
          <w:spacing w:val="0"/>
          <w:kern w:val="2"/>
          <w:sz w:val="32"/>
          <w:szCs w:val="32"/>
          <w:highlight w:val="none"/>
          <w:lang w:val="en-US" w:eastAsia="zh-CN" w:bidi="ar-SA"/>
        </w:rPr>
        <w:t>2</w:t>
      </w:r>
      <w:r>
        <w:rPr>
          <w:rFonts w:hint="eastAsia" w:ascii="仿宋_GB2312" w:hAnsi="Times New Roman" w:eastAsia="仿宋_GB2312" w:cs="Times New Roman"/>
          <w:color w:val="auto"/>
          <w:spacing w:val="0"/>
          <w:kern w:val="2"/>
          <w:sz w:val="32"/>
          <w:szCs w:val="32"/>
          <w:highlight w:val="none"/>
          <w:lang w:val="en-US" w:eastAsia="zh-CN" w:bidi="ar-SA"/>
        </w:rPr>
        <w:t>万元，增长12.7</w:t>
      </w:r>
      <w:r>
        <w:rPr>
          <w:rFonts w:hint="eastAsia" w:ascii="仿宋_GB2312"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%，主要原因是：本年度机关养老基数</w:t>
      </w:r>
      <w:r>
        <w:rPr>
          <w:rFonts w:hint="eastAsia" w:ascii="仿宋_GB2312" w:eastAsia="仿宋_GB2312" w:cs="Times New Roman"/>
          <w:color w:val="auto"/>
          <w:spacing w:val="0"/>
          <w:kern w:val="2"/>
          <w:sz w:val="32"/>
          <w:szCs w:val="32"/>
          <w:highlight w:val="none"/>
          <w:lang w:val="en-US" w:eastAsia="zh-CN" w:bidi="ar-SA"/>
        </w:rPr>
        <w:t>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16.农林水支出（类）农业农村（款）其他农业农村支出（项）:支出决算数为3.74万元，比上年决算增加3.74万元，增长100%，主要原因是：</w:t>
      </w:r>
      <w:r>
        <w:rPr>
          <w:rFonts w:hint="eastAsia" w:ascii="仿宋_GB2312" w:eastAsia="仿宋_GB2312" w:cs="Times New Roman"/>
          <w:color w:val="auto"/>
          <w:spacing w:val="0"/>
          <w:kern w:val="2"/>
          <w:sz w:val="32"/>
          <w:szCs w:val="32"/>
          <w:highlight w:val="none"/>
          <w:lang w:val="en-US" w:eastAsia="zh-CN" w:bidi="ar-SA"/>
        </w:rPr>
        <w:t>2023年驻村工作经费项目</w:t>
      </w:r>
      <w:r>
        <w:rPr>
          <w:rFonts w:hint="eastAsia" w:ascii="仿宋_GB2312" w:hAnsi="Times New Roman" w:eastAsia="仿宋_GB2312" w:cs="Times New Roman"/>
          <w:color w:val="auto"/>
          <w:spacing w:val="0"/>
          <w:kern w:val="2"/>
          <w:sz w:val="32"/>
          <w:szCs w:val="32"/>
          <w:highlight w:val="none"/>
          <w:lang w:val="en-US" w:eastAsia="zh-CN" w:bidi="ar-SA"/>
        </w:rPr>
        <w:t>科目调整，本年度新增其他农业农村支出（项）</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17.社会保障和就业支出（类）人力资源和社会保障管理事务（款）其他人力资源和社会保障管理事务支出（项）:支出决算数为106.28万元，比上年决算减少11.24万元，下降9.56%，主要原因是：三支一扶人员人员减少，山花公寓办公经费项目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18.社会保障和就业支出（类）人力资源和社会保障管理事务（款）行政运行（项）:支出决算数为578.40万元，比上年决算增加121.04万元，增长26.46%，主要原因是：本年度社保中心人员经费、运转类经费调整到人力资源和社会保障管理事务（款）行政运行（项）中</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19.一般公共服务支出（类）组织事务（款）行政运行（项）:支出决算数为119.22万元，比上年决算增加0.52万元，增长0.44%，主要原因是：支付上年度未支付的</w:t>
      </w:r>
      <w:r>
        <w:rPr>
          <w:rFonts w:hint="eastAsia" w:ascii="仿宋_GB2312" w:eastAsia="仿宋_GB2312" w:cs="Times New Roman"/>
          <w:color w:val="auto"/>
          <w:spacing w:val="0"/>
          <w:kern w:val="2"/>
          <w:sz w:val="32"/>
          <w:szCs w:val="32"/>
          <w:highlight w:val="none"/>
          <w:lang w:val="en-US" w:eastAsia="zh-CN" w:bidi="ar-SA"/>
        </w:rPr>
        <w:t>运转类</w:t>
      </w:r>
      <w:r>
        <w:rPr>
          <w:rFonts w:hint="eastAsia" w:ascii="仿宋_GB2312" w:hAnsi="Times New Roman" w:eastAsia="仿宋_GB2312" w:cs="Times New Roman"/>
          <w:color w:val="auto"/>
          <w:spacing w:val="0"/>
          <w:kern w:val="2"/>
          <w:sz w:val="32"/>
          <w:szCs w:val="32"/>
          <w:highlight w:val="none"/>
          <w:lang w:val="en-US" w:eastAsia="zh-CN" w:bidi="ar-SA"/>
        </w:rPr>
        <w:t>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20.其他支出（类）其他支出（款）其他支出（项）:支出决算数为0.00万元，比上年决算减少12.85万元，下降100%，主要原因是：</w:t>
      </w:r>
      <w:r>
        <w:rPr>
          <w:rFonts w:hint="eastAsia" w:ascii="仿宋_GB2312" w:eastAsia="仿宋_GB2312" w:cs="Times New Roman"/>
          <w:color w:val="auto"/>
          <w:spacing w:val="0"/>
          <w:kern w:val="2"/>
          <w:sz w:val="32"/>
          <w:szCs w:val="32"/>
          <w:highlight w:val="none"/>
          <w:lang w:val="en-US" w:eastAsia="zh-CN" w:bidi="ar-SA"/>
        </w:rPr>
        <w:t>就业补助资金项目</w:t>
      </w:r>
      <w:r>
        <w:rPr>
          <w:rFonts w:hint="eastAsia" w:ascii="仿宋_GB2312" w:hAnsi="Times New Roman" w:eastAsia="仿宋_GB2312" w:cs="Times New Roman"/>
          <w:color w:val="auto"/>
          <w:spacing w:val="0"/>
          <w:kern w:val="2"/>
          <w:sz w:val="32"/>
          <w:szCs w:val="32"/>
          <w:highlight w:val="none"/>
          <w:lang w:val="zh-CN" w:eastAsia="zh-CN" w:bidi="ar-SA"/>
        </w:rPr>
        <w:t>科目调整，</w:t>
      </w:r>
      <w:r>
        <w:rPr>
          <w:rFonts w:hint="eastAsia" w:ascii="仿宋_GB2312" w:hAnsi="Times New Roman" w:eastAsia="仿宋_GB2312" w:cs="Times New Roman"/>
          <w:color w:val="auto"/>
          <w:spacing w:val="0"/>
          <w:kern w:val="2"/>
          <w:sz w:val="32"/>
          <w:szCs w:val="32"/>
          <w:highlight w:val="none"/>
          <w:lang w:val="en-US" w:eastAsia="zh-CN" w:bidi="ar-SA"/>
        </w:rPr>
        <w:t>本年不再使用此科目。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938.49</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894.28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奖励金、其他对个人和家庭的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44.21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办公费、水费、电费、邮电费、取暖费、差旅费、维修（护）费、培训费、工会经费、公务用车运行维护费、办公设备购置</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“三公”经费支出2.37万元，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减少6.28万元，</w:t>
      </w:r>
      <w:r>
        <w:rPr>
          <w:rFonts w:hint="eastAsia" w:ascii="仿宋_GB2312" w:eastAsia="仿宋_GB2312"/>
          <w:color w:val="auto"/>
          <w:spacing w:val="0"/>
          <w:sz w:val="32"/>
          <w:szCs w:val="32"/>
          <w:highlight w:val="none"/>
          <w:lang w:val="en-US" w:eastAsia="zh-CN"/>
        </w:rPr>
        <w:t>下降72.6%,</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一是财政对公用经费的控制，很多费用未能支付；二是单位减少的相关费用的支出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w:t>
      </w:r>
      <w:r>
        <w:rPr>
          <w:rFonts w:hint="eastAsia" w:ascii="仿宋_GB2312" w:eastAsia="仿宋_GB2312"/>
          <w:sz w:val="32"/>
          <w:szCs w:val="32"/>
        </w:rPr>
        <w:t>单位无因公出国（境）费支出</w:t>
      </w:r>
      <w:r>
        <w:rPr>
          <w:rFonts w:hint="eastAsia" w:ascii="仿宋_GB2312" w:eastAsia="仿宋_GB2312"/>
          <w:sz w:val="32"/>
          <w:szCs w:val="32"/>
          <w:lang w:val="zh-CN" w:eastAsia="zh-CN"/>
        </w:rPr>
        <w:t>；</w:t>
      </w:r>
      <w:r>
        <w:rPr>
          <w:rFonts w:hint="eastAsia" w:ascii="仿宋_GB2312" w:eastAsia="仿宋_GB2312"/>
          <w:color w:val="auto"/>
          <w:sz w:val="32"/>
          <w:szCs w:val="32"/>
          <w:highlight w:val="none"/>
          <w:lang w:val="zh-CN" w:eastAsia="zh-CN"/>
        </w:rPr>
        <w:t>公务用车购置及运行维护费支出2.37万元，占100.00%，比上年减少6.28万元，</w:t>
      </w:r>
      <w:r>
        <w:rPr>
          <w:rFonts w:hint="eastAsia" w:ascii="仿宋_GB2312" w:eastAsia="仿宋_GB2312"/>
          <w:color w:val="auto"/>
          <w:spacing w:val="0"/>
          <w:sz w:val="32"/>
          <w:szCs w:val="32"/>
          <w:highlight w:val="none"/>
          <w:lang w:val="en-US" w:eastAsia="zh-CN"/>
        </w:rPr>
        <w:t>下降72.6%,</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w:t>
      </w:r>
      <w:r>
        <w:rPr>
          <w:rFonts w:hint="eastAsia"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年过紧日子要求，压减公用经费支出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主要原因是：本单位无公务接待费支出。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highlight w:val="none"/>
        </w:rPr>
        <w:t>开支内容包括</w:t>
      </w:r>
      <w:r>
        <w:rPr>
          <w:rFonts w:hint="eastAsia" w:ascii="仿宋_GB2312" w:eastAsia="仿宋_GB2312"/>
          <w:color w:val="auto"/>
          <w:sz w:val="32"/>
          <w:szCs w:val="32"/>
          <w:highlight w:val="none"/>
          <w:lang w:val="zh-CN" w:eastAsia="zh-CN"/>
        </w:rPr>
        <w:t>无此项开支内容。单位全年安排的因公出国（境）团组0个，因公出国（境）0人次。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2.37万元，其中：公务用车购置费0.00万元，公务用车运行维护费2.37万元。公务用车运行维护费开支内容包括车辆保险、燃油费。公务用车购置数0辆，公务用车保有量5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5辆，与公务用车保有量差异原因是：</w:t>
      </w:r>
      <w:r>
        <w:rPr>
          <w:rFonts w:hint="eastAsia" w:ascii="仿宋_GB2312" w:eastAsia="仿宋_GB2312"/>
          <w:color w:val="auto"/>
          <w:sz w:val="32"/>
          <w:szCs w:val="32"/>
          <w:highlight w:val="none"/>
          <w:lang w:val="en-US" w:eastAsia="zh-CN"/>
        </w:rPr>
        <w:t>无差异。</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预算数2.37万元，决算数2.37万元，预决算差异率0.00%，主要原因是：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预算数2.37万元，决算数2.37万元，预决算差异率0.00%，主要原因是：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裕民县人力资源和社会保障局（行政单位和参照公务员法管理事业单位）机关运行经费支出44.21万元，比上年减少22.67万元，下降33.90%，主要原因是：</w:t>
      </w:r>
      <w:r>
        <w:rPr>
          <w:rFonts w:hint="eastAsia" w:ascii="仿宋_GB2312" w:eastAsia="仿宋_GB2312"/>
          <w:color w:val="auto"/>
          <w:sz w:val="32"/>
          <w:szCs w:val="32"/>
          <w:highlight w:val="none"/>
          <w:lang w:eastAsia="zh-CN"/>
        </w:rPr>
        <w:t>单位减少的取暖费用支出</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2023年度政府采购支出总额10.46万元，其中：政府采购货物支出6.32万元、政府采购工程支出0.00万元、政府采购服务支出4.14万元。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授予中小企业合同金额10.46万元，占政府采购支出总额的100.00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，其中：授予小微企业合同金额10.46万元，</w:t>
      </w:r>
      <w:r>
        <w:rPr>
          <w:rFonts w:hint="eastAsia" w:ascii="Times New Roman" w:hAnsi="Times New Roman" w:eastAsia="仿宋_GB2312" w:cs="Times New Roman"/>
          <w:color w:val="auto"/>
          <w:sz w:val="32"/>
          <w:szCs w:val="32"/>
          <w:highlight w:val="none"/>
          <w:lang w:val="zh-CN" w:eastAsia="zh-CN"/>
        </w:rPr>
        <w:t>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2,789.63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屋15937.32平方米，价值2,147.31万元。车辆5辆，价值65.44万元，其中：副部（省）级及以上领导用车0辆、主要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用车0辆、其他用车5辆，其他用车主要是：其他用车5辆，用于业务培训、劳动监察检查等；单价100万元（含）以上设备（不含车辆）0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预算总额1814.83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实际执行总额1814.83</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全年预算数1267.86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全年执行数868.86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w:t>
      </w:r>
      <w:bookmarkStart w:id="48" w:name="_GoBack"/>
      <w:bookmarkEnd w:id="48"/>
      <w:r>
        <w:rPr>
          <w:rFonts w:hint="eastAsia" w:ascii="仿宋_GB2312" w:eastAsia="仿宋_GB2312"/>
          <w:color w:val="auto"/>
          <w:sz w:val="32"/>
          <w:szCs w:val="32"/>
          <w:highlight w:val="none"/>
          <w:lang w:val="en-US" w:eastAsia="zh-CN"/>
        </w:rPr>
        <w:t>sm项目数量1个涉及金额0.08万元</w:t>
      </w:r>
      <w:r>
        <w:rPr>
          <w:rFonts w:hint="eastAsia" w:ascii="仿宋_GB2312" w:eastAsia="仿宋_GB2312"/>
          <w:color w:val="auto"/>
          <w:sz w:val="32"/>
          <w:szCs w:val="32"/>
          <w:highlight w:val="none"/>
          <w:lang w:eastAsia="zh-CN"/>
        </w:rPr>
        <w:t>。预算绩效管理取得的成效：一是绩效目标管理和评价工作实现全覆盖，项目资金都已纳入绩效管理和评价内容，为合理利用资金提供了信息保障；二是绩效跟踪监控管理工作进一步加强，对项目中可能存在的问题，提前做出有针对性的解决措施和方案。发现的问题及原因：一是我们对于绩效监控学习深度广度都不够，希望多加强这方面的培训；二是加强财务管理，严格财务审核，在费用报账支付时，按照预算规定的费用项目和用途进行资金使用审核，杜绝超支现象的发生。下一步改进措施：我单位今后加大宣传力度，开展学习和培训活动，为预算绩效管理相关人员提升业务素质和思想认识。将绩效评价和监控融入到绩效管理的整个过程，提高绩效监控的效率和效果。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z w:val="32"/>
          <w:szCs w:val="32"/>
          <w:highlight w:val="none"/>
          <w:lang w:eastAsia="zh-CN"/>
        </w:rPr>
        <w:t>本单位</w:t>
      </w:r>
      <w:r>
        <w:rPr>
          <w:rFonts w:hint="eastAsia" w:ascii="仿宋_GB2312" w:eastAsia="仿宋_GB2312"/>
          <w:color w:val="auto"/>
          <w:sz w:val="32"/>
          <w:szCs w:val="32"/>
          <w:highlight w:val="none"/>
          <w:lang w:val="en-US" w:eastAsia="zh-CN"/>
        </w:rPr>
        <w:t>sm项目1个涉及金额0.08万元。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4A203A"/>
    <w:rsid w:val="0468280C"/>
    <w:rsid w:val="04A32005"/>
    <w:rsid w:val="04A94D84"/>
    <w:rsid w:val="04C04386"/>
    <w:rsid w:val="04FA68C4"/>
    <w:rsid w:val="053F5AE6"/>
    <w:rsid w:val="057C0B0F"/>
    <w:rsid w:val="05EF4B48"/>
    <w:rsid w:val="05F76ECA"/>
    <w:rsid w:val="06792773"/>
    <w:rsid w:val="07093795"/>
    <w:rsid w:val="0760044F"/>
    <w:rsid w:val="07804730"/>
    <w:rsid w:val="079052BE"/>
    <w:rsid w:val="08145C21"/>
    <w:rsid w:val="08422688"/>
    <w:rsid w:val="085854ED"/>
    <w:rsid w:val="0879188F"/>
    <w:rsid w:val="08985D14"/>
    <w:rsid w:val="08A0354D"/>
    <w:rsid w:val="08A24D1D"/>
    <w:rsid w:val="08CD4C49"/>
    <w:rsid w:val="09114954"/>
    <w:rsid w:val="095A5B83"/>
    <w:rsid w:val="096466E3"/>
    <w:rsid w:val="0968304D"/>
    <w:rsid w:val="09AD56EB"/>
    <w:rsid w:val="09AF3D17"/>
    <w:rsid w:val="09BC02C9"/>
    <w:rsid w:val="0A7809B7"/>
    <w:rsid w:val="0A7B4867"/>
    <w:rsid w:val="0A840954"/>
    <w:rsid w:val="0A946C1B"/>
    <w:rsid w:val="0A9928ED"/>
    <w:rsid w:val="0B61769D"/>
    <w:rsid w:val="0B7D43BB"/>
    <w:rsid w:val="0B8C3ECC"/>
    <w:rsid w:val="0B9C639D"/>
    <w:rsid w:val="0BB052B2"/>
    <w:rsid w:val="0BD33FFC"/>
    <w:rsid w:val="0BE97AC1"/>
    <w:rsid w:val="0C1C4780"/>
    <w:rsid w:val="0C3613A3"/>
    <w:rsid w:val="0C5E519C"/>
    <w:rsid w:val="0C7227A7"/>
    <w:rsid w:val="0CA52EE8"/>
    <w:rsid w:val="0CBD6988"/>
    <w:rsid w:val="0CD208AC"/>
    <w:rsid w:val="0CF6273E"/>
    <w:rsid w:val="0D4903E8"/>
    <w:rsid w:val="0D7A4A46"/>
    <w:rsid w:val="0DAF6F4F"/>
    <w:rsid w:val="0DB634E9"/>
    <w:rsid w:val="0E640559"/>
    <w:rsid w:val="0E9A7A35"/>
    <w:rsid w:val="0ECC332A"/>
    <w:rsid w:val="0F1113DA"/>
    <w:rsid w:val="0F2A63DD"/>
    <w:rsid w:val="0F78534A"/>
    <w:rsid w:val="0F89358A"/>
    <w:rsid w:val="0F8C6D51"/>
    <w:rsid w:val="0FA80FFF"/>
    <w:rsid w:val="0FEE002E"/>
    <w:rsid w:val="0FEE1356"/>
    <w:rsid w:val="105B0B5E"/>
    <w:rsid w:val="111C37E9"/>
    <w:rsid w:val="112E58D0"/>
    <w:rsid w:val="1171712A"/>
    <w:rsid w:val="11731CAC"/>
    <w:rsid w:val="119500A0"/>
    <w:rsid w:val="119D4AFB"/>
    <w:rsid w:val="11C0733B"/>
    <w:rsid w:val="11D50D17"/>
    <w:rsid w:val="11FA3735"/>
    <w:rsid w:val="120E0809"/>
    <w:rsid w:val="126B4727"/>
    <w:rsid w:val="127E793E"/>
    <w:rsid w:val="127F665A"/>
    <w:rsid w:val="12F7068C"/>
    <w:rsid w:val="132A69FB"/>
    <w:rsid w:val="137B315D"/>
    <w:rsid w:val="13FC0B46"/>
    <w:rsid w:val="14207DC0"/>
    <w:rsid w:val="14724258"/>
    <w:rsid w:val="14B932DA"/>
    <w:rsid w:val="150A66AF"/>
    <w:rsid w:val="154C1139"/>
    <w:rsid w:val="158C5B77"/>
    <w:rsid w:val="15F37FB5"/>
    <w:rsid w:val="160D1149"/>
    <w:rsid w:val="163563C0"/>
    <w:rsid w:val="164315EF"/>
    <w:rsid w:val="16557DFE"/>
    <w:rsid w:val="167109B2"/>
    <w:rsid w:val="167268FB"/>
    <w:rsid w:val="16770D0A"/>
    <w:rsid w:val="16BF4214"/>
    <w:rsid w:val="16D50C50"/>
    <w:rsid w:val="16E120E1"/>
    <w:rsid w:val="17385A05"/>
    <w:rsid w:val="173B3901"/>
    <w:rsid w:val="17672E43"/>
    <w:rsid w:val="176747F9"/>
    <w:rsid w:val="17883656"/>
    <w:rsid w:val="17954A6E"/>
    <w:rsid w:val="180059E9"/>
    <w:rsid w:val="184510FD"/>
    <w:rsid w:val="18901A95"/>
    <w:rsid w:val="18984AA0"/>
    <w:rsid w:val="190648B0"/>
    <w:rsid w:val="19071D6C"/>
    <w:rsid w:val="197804CC"/>
    <w:rsid w:val="19D26CD4"/>
    <w:rsid w:val="19E60D19"/>
    <w:rsid w:val="1A14624F"/>
    <w:rsid w:val="1A3E3450"/>
    <w:rsid w:val="1A5B766A"/>
    <w:rsid w:val="1AB30B3D"/>
    <w:rsid w:val="1AD807E5"/>
    <w:rsid w:val="1B39345B"/>
    <w:rsid w:val="1B664A24"/>
    <w:rsid w:val="1BFB2A1F"/>
    <w:rsid w:val="1C015D4A"/>
    <w:rsid w:val="1C290ED5"/>
    <w:rsid w:val="1C317E4F"/>
    <w:rsid w:val="1C472464"/>
    <w:rsid w:val="1C913298"/>
    <w:rsid w:val="1D22799A"/>
    <w:rsid w:val="1D5C1A72"/>
    <w:rsid w:val="1DAF458D"/>
    <w:rsid w:val="1E086ACE"/>
    <w:rsid w:val="1E62130A"/>
    <w:rsid w:val="1E6B7429"/>
    <w:rsid w:val="1E97358B"/>
    <w:rsid w:val="1EAA4A5F"/>
    <w:rsid w:val="1EE869A7"/>
    <w:rsid w:val="1FA15E62"/>
    <w:rsid w:val="1FED69B6"/>
    <w:rsid w:val="20535E01"/>
    <w:rsid w:val="2064678E"/>
    <w:rsid w:val="20B33262"/>
    <w:rsid w:val="20DC1AB9"/>
    <w:rsid w:val="20DD6197"/>
    <w:rsid w:val="212631E0"/>
    <w:rsid w:val="215B7763"/>
    <w:rsid w:val="21A53757"/>
    <w:rsid w:val="221236C6"/>
    <w:rsid w:val="22D7662C"/>
    <w:rsid w:val="23326B7F"/>
    <w:rsid w:val="2380045B"/>
    <w:rsid w:val="23BC04D2"/>
    <w:rsid w:val="23EF1892"/>
    <w:rsid w:val="242C301F"/>
    <w:rsid w:val="2483647E"/>
    <w:rsid w:val="24A32D55"/>
    <w:rsid w:val="25292727"/>
    <w:rsid w:val="252E5CA9"/>
    <w:rsid w:val="253135B6"/>
    <w:rsid w:val="256F7692"/>
    <w:rsid w:val="25A24115"/>
    <w:rsid w:val="25BA2154"/>
    <w:rsid w:val="25C8773F"/>
    <w:rsid w:val="26037E80"/>
    <w:rsid w:val="264A7253"/>
    <w:rsid w:val="269C4A8D"/>
    <w:rsid w:val="26F0170C"/>
    <w:rsid w:val="27201D62"/>
    <w:rsid w:val="27286E73"/>
    <w:rsid w:val="27CF2642"/>
    <w:rsid w:val="27E777F5"/>
    <w:rsid w:val="27EA1D4C"/>
    <w:rsid w:val="27EA2E41"/>
    <w:rsid w:val="27FF507A"/>
    <w:rsid w:val="282459E2"/>
    <w:rsid w:val="283A7FE5"/>
    <w:rsid w:val="285F51FF"/>
    <w:rsid w:val="28DF2665"/>
    <w:rsid w:val="29072599"/>
    <w:rsid w:val="291029F3"/>
    <w:rsid w:val="292640D8"/>
    <w:rsid w:val="29B9075B"/>
    <w:rsid w:val="29CB58F0"/>
    <w:rsid w:val="2A053397"/>
    <w:rsid w:val="2A145E96"/>
    <w:rsid w:val="2A2131BB"/>
    <w:rsid w:val="2A930AFA"/>
    <w:rsid w:val="2AF5378F"/>
    <w:rsid w:val="2BA35269"/>
    <w:rsid w:val="2BB8268C"/>
    <w:rsid w:val="2BB94DBF"/>
    <w:rsid w:val="2C6F314E"/>
    <w:rsid w:val="2CC206BE"/>
    <w:rsid w:val="2D1136DF"/>
    <w:rsid w:val="2D20606D"/>
    <w:rsid w:val="2D5B7B9B"/>
    <w:rsid w:val="2DB87198"/>
    <w:rsid w:val="2DB93C54"/>
    <w:rsid w:val="2E3D144C"/>
    <w:rsid w:val="2E891204"/>
    <w:rsid w:val="2F1B7FE1"/>
    <w:rsid w:val="2F3F0A28"/>
    <w:rsid w:val="2F4A0B35"/>
    <w:rsid w:val="2F6827DA"/>
    <w:rsid w:val="2FAC36B1"/>
    <w:rsid w:val="2FBF7029"/>
    <w:rsid w:val="2FD0187F"/>
    <w:rsid w:val="2FD27414"/>
    <w:rsid w:val="2FFE4BB0"/>
    <w:rsid w:val="300E7B60"/>
    <w:rsid w:val="300F6E18"/>
    <w:rsid w:val="30862F5F"/>
    <w:rsid w:val="30A17362"/>
    <w:rsid w:val="30A345E6"/>
    <w:rsid w:val="30FC2783"/>
    <w:rsid w:val="314029C9"/>
    <w:rsid w:val="31C63837"/>
    <w:rsid w:val="31C82E39"/>
    <w:rsid w:val="31DD2D52"/>
    <w:rsid w:val="32035EBC"/>
    <w:rsid w:val="3244488E"/>
    <w:rsid w:val="32601BAD"/>
    <w:rsid w:val="329F6389"/>
    <w:rsid w:val="32AF1BC1"/>
    <w:rsid w:val="3326673B"/>
    <w:rsid w:val="336E699F"/>
    <w:rsid w:val="3389023A"/>
    <w:rsid w:val="33CB74FA"/>
    <w:rsid w:val="343642F2"/>
    <w:rsid w:val="343F3010"/>
    <w:rsid w:val="345D0A00"/>
    <w:rsid w:val="34713BFD"/>
    <w:rsid w:val="34B862D0"/>
    <w:rsid w:val="34C13589"/>
    <w:rsid w:val="35205AB9"/>
    <w:rsid w:val="353369E3"/>
    <w:rsid w:val="35E00D72"/>
    <w:rsid w:val="35EB73FD"/>
    <w:rsid w:val="36965B9D"/>
    <w:rsid w:val="36C11045"/>
    <w:rsid w:val="36C549FD"/>
    <w:rsid w:val="37A755DD"/>
    <w:rsid w:val="37D37150"/>
    <w:rsid w:val="37F94FA0"/>
    <w:rsid w:val="380D3381"/>
    <w:rsid w:val="38115B1F"/>
    <w:rsid w:val="385E3AC3"/>
    <w:rsid w:val="387D6B9E"/>
    <w:rsid w:val="38B75FF0"/>
    <w:rsid w:val="38D45016"/>
    <w:rsid w:val="38D90432"/>
    <w:rsid w:val="3914510A"/>
    <w:rsid w:val="3926770B"/>
    <w:rsid w:val="398D3668"/>
    <w:rsid w:val="39D66B28"/>
    <w:rsid w:val="39DA0497"/>
    <w:rsid w:val="3A136566"/>
    <w:rsid w:val="3A893816"/>
    <w:rsid w:val="3A893B6D"/>
    <w:rsid w:val="3AD1763A"/>
    <w:rsid w:val="3AE6547E"/>
    <w:rsid w:val="3B6716E3"/>
    <w:rsid w:val="3B6C6B2D"/>
    <w:rsid w:val="3C242659"/>
    <w:rsid w:val="3C96719C"/>
    <w:rsid w:val="3CA72BE8"/>
    <w:rsid w:val="3CD3334E"/>
    <w:rsid w:val="3CF37F8C"/>
    <w:rsid w:val="3D137554"/>
    <w:rsid w:val="3D5275AC"/>
    <w:rsid w:val="3D6F314F"/>
    <w:rsid w:val="3DCC2473"/>
    <w:rsid w:val="3DEB0883"/>
    <w:rsid w:val="3E2527BF"/>
    <w:rsid w:val="3E731662"/>
    <w:rsid w:val="3E8168DD"/>
    <w:rsid w:val="3EA7725F"/>
    <w:rsid w:val="3EB03713"/>
    <w:rsid w:val="3EBF1A11"/>
    <w:rsid w:val="3EC52607"/>
    <w:rsid w:val="3EEC6CEF"/>
    <w:rsid w:val="3F183429"/>
    <w:rsid w:val="3FB77A1D"/>
    <w:rsid w:val="3FC005AA"/>
    <w:rsid w:val="3FDC3674"/>
    <w:rsid w:val="3FED7F8A"/>
    <w:rsid w:val="40094AEF"/>
    <w:rsid w:val="405470BD"/>
    <w:rsid w:val="40794A29"/>
    <w:rsid w:val="40834692"/>
    <w:rsid w:val="40D273D7"/>
    <w:rsid w:val="41431AD5"/>
    <w:rsid w:val="414B3C0F"/>
    <w:rsid w:val="417C1CE7"/>
    <w:rsid w:val="41900018"/>
    <w:rsid w:val="41944406"/>
    <w:rsid w:val="41CE128F"/>
    <w:rsid w:val="41DA6F12"/>
    <w:rsid w:val="42171FB1"/>
    <w:rsid w:val="434E6957"/>
    <w:rsid w:val="43BA0E31"/>
    <w:rsid w:val="43C15147"/>
    <w:rsid w:val="43E14DD2"/>
    <w:rsid w:val="43F800E9"/>
    <w:rsid w:val="443A7E4B"/>
    <w:rsid w:val="44B4641D"/>
    <w:rsid w:val="44BA38AC"/>
    <w:rsid w:val="44D515A6"/>
    <w:rsid w:val="452F5B3A"/>
    <w:rsid w:val="454E7FD2"/>
    <w:rsid w:val="46061BDC"/>
    <w:rsid w:val="461404F8"/>
    <w:rsid w:val="46413018"/>
    <w:rsid w:val="464B7E04"/>
    <w:rsid w:val="468041AA"/>
    <w:rsid w:val="468123C6"/>
    <w:rsid w:val="46901EEE"/>
    <w:rsid w:val="469C74D2"/>
    <w:rsid w:val="46D344F4"/>
    <w:rsid w:val="47445515"/>
    <w:rsid w:val="474B4782"/>
    <w:rsid w:val="47D45B39"/>
    <w:rsid w:val="47D90D14"/>
    <w:rsid w:val="48387FB0"/>
    <w:rsid w:val="483A6114"/>
    <w:rsid w:val="487941CC"/>
    <w:rsid w:val="488727DB"/>
    <w:rsid w:val="48B82268"/>
    <w:rsid w:val="48C354B3"/>
    <w:rsid w:val="493D58B5"/>
    <w:rsid w:val="494A7A04"/>
    <w:rsid w:val="4A0A26D2"/>
    <w:rsid w:val="4A2019A5"/>
    <w:rsid w:val="4A241A0B"/>
    <w:rsid w:val="4A7B2875"/>
    <w:rsid w:val="4A934476"/>
    <w:rsid w:val="4AAA220A"/>
    <w:rsid w:val="4AE12E67"/>
    <w:rsid w:val="4B4C0111"/>
    <w:rsid w:val="4B8553A9"/>
    <w:rsid w:val="4BC820D4"/>
    <w:rsid w:val="4BDB3730"/>
    <w:rsid w:val="4C200F7A"/>
    <w:rsid w:val="4C7155B3"/>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0DD3C6E"/>
    <w:rsid w:val="50F14A0F"/>
    <w:rsid w:val="51025EB1"/>
    <w:rsid w:val="51141503"/>
    <w:rsid w:val="512E1636"/>
    <w:rsid w:val="512E5D6A"/>
    <w:rsid w:val="515356CB"/>
    <w:rsid w:val="518D0ED5"/>
    <w:rsid w:val="51C01736"/>
    <w:rsid w:val="51EB104D"/>
    <w:rsid w:val="523A34B8"/>
    <w:rsid w:val="525C687F"/>
    <w:rsid w:val="52F647F7"/>
    <w:rsid w:val="52F92565"/>
    <w:rsid w:val="52F92DB3"/>
    <w:rsid w:val="539E42B0"/>
    <w:rsid w:val="53D03877"/>
    <w:rsid w:val="542F73CA"/>
    <w:rsid w:val="5430786D"/>
    <w:rsid w:val="54B87447"/>
    <w:rsid w:val="54C811C0"/>
    <w:rsid w:val="553B1BE0"/>
    <w:rsid w:val="556A442D"/>
    <w:rsid w:val="559A053C"/>
    <w:rsid w:val="55A15289"/>
    <w:rsid w:val="55DA564E"/>
    <w:rsid w:val="55DE250B"/>
    <w:rsid w:val="5604127D"/>
    <w:rsid w:val="56166703"/>
    <w:rsid w:val="5632744A"/>
    <w:rsid w:val="56510474"/>
    <w:rsid w:val="567162A7"/>
    <w:rsid w:val="56861525"/>
    <w:rsid w:val="56A93273"/>
    <w:rsid w:val="56AD3CB8"/>
    <w:rsid w:val="56BD550C"/>
    <w:rsid w:val="56E07045"/>
    <w:rsid w:val="56FF28AF"/>
    <w:rsid w:val="57313B92"/>
    <w:rsid w:val="57540E7D"/>
    <w:rsid w:val="577B4878"/>
    <w:rsid w:val="57926973"/>
    <w:rsid w:val="57AD592A"/>
    <w:rsid w:val="57B32ABB"/>
    <w:rsid w:val="58175352"/>
    <w:rsid w:val="581C3122"/>
    <w:rsid w:val="581F2200"/>
    <w:rsid w:val="583059FA"/>
    <w:rsid w:val="584A0929"/>
    <w:rsid w:val="58CD2491"/>
    <w:rsid w:val="591B41B2"/>
    <w:rsid w:val="59254A26"/>
    <w:rsid w:val="592B22A2"/>
    <w:rsid w:val="59326325"/>
    <w:rsid w:val="595C505B"/>
    <w:rsid w:val="595E55C3"/>
    <w:rsid w:val="596E7E20"/>
    <w:rsid w:val="5A60780B"/>
    <w:rsid w:val="5AB34579"/>
    <w:rsid w:val="5AFC6609"/>
    <w:rsid w:val="5B113480"/>
    <w:rsid w:val="5B7844D7"/>
    <w:rsid w:val="5BD456CE"/>
    <w:rsid w:val="5C0D1F49"/>
    <w:rsid w:val="5CBB0CE2"/>
    <w:rsid w:val="5CC17177"/>
    <w:rsid w:val="5CD83C42"/>
    <w:rsid w:val="5CF306BC"/>
    <w:rsid w:val="5D052FE7"/>
    <w:rsid w:val="5D3F3D64"/>
    <w:rsid w:val="5D833043"/>
    <w:rsid w:val="5DD92690"/>
    <w:rsid w:val="5DDB1CFD"/>
    <w:rsid w:val="5E7E6D93"/>
    <w:rsid w:val="5ED44800"/>
    <w:rsid w:val="5F350BDE"/>
    <w:rsid w:val="5F4C4BDD"/>
    <w:rsid w:val="5F61632C"/>
    <w:rsid w:val="5FA17648"/>
    <w:rsid w:val="5FE705CB"/>
    <w:rsid w:val="603D5080"/>
    <w:rsid w:val="60D0261B"/>
    <w:rsid w:val="6103396B"/>
    <w:rsid w:val="618E3791"/>
    <w:rsid w:val="61947DCA"/>
    <w:rsid w:val="61A46A97"/>
    <w:rsid w:val="61B70293"/>
    <w:rsid w:val="61D1382F"/>
    <w:rsid w:val="61F114A2"/>
    <w:rsid w:val="62512BB4"/>
    <w:rsid w:val="625D7D1A"/>
    <w:rsid w:val="62DD7D21"/>
    <w:rsid w:val="62E457C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D1071C"/>
    <w:rsid w:val="683F0658"/>
    <w:rsid w:val="689C6793"/>
    <w:rsid w:val="68DB0208"/>
    <w:rsid w:val="68EB7448"/>
    <w:rsid w:val="68FB170C"/>
    <w:rsid w:val="691B3D98"/>
    <w:rsid w:val="692D0787"/>
    <w:rsid w:val="692E50D2"/>
    <w:rsid w:val="693748F0"/>
    <w:rsid w:val="69846A0E"/>
    <w:rsid w:val="69AD798C"/>
    <w:rsid w:val="69D005C0"/>
    <w:rsid w:val="69D80B96"/>
    <w:rsid w:val="6A043419"/>
    <w:rsid w:val="6A9A5A2D"/>
    <w:rsid w:val="6AF87776"/>
    <w:rsid w:val="6B68175F"/>
    <w:rsid w:val="6BFD799F"/>
    <w:rsid w:val="6C250485"/>
    <w:rsid w:val="6C4A2E5A"/>
    <w:rsid w:val="6C8138D0"/>
    <w:rsid w:val="6CC30D7F"/>
    <w:rsid w:val="6CEF0725"/>
    <w:rsid w:val="6D43477B"/>
    <w:rsid w:val="6D4B2604"/>
    <w:rsid w:val="6D640DDB"/>
    <w:rsid w:val="6D8030E4"/>
    <w:rsid w:val="6D9F6094"/>
    <w:rsid w:val="6DB42F23"/>
    <w:rsid w:val="6E0E35C4"/>
    <w:rsid w:val="6E0F7A08"/>
    <w:rsid w:val="6E3947F5"/>
    <w:rsid w:val="6E8F3F6B"/>
    <w:rsid w:val="6E9C74ED"/>
    <w:rsid w:val="6EF72976"/>
    <w:rsid w:val="6F795A80"/>
    <w:rsid w:val="6F7C1D2E"/>
    <w:rsid w:val="6F8E0407"/>
    <w:rsid w:val="6FDD069F"/>
    <w:rsid w:val="6FF50CC9"/>
    <w:rsid w:val="70242312"/>
    <w:rsid w:val="702B4D16"/>
    <w:rsid w:val="707941AD"/>
    <w:rsid w:val="70AA6621"/>
    <w:rsid w:val="70E2641B"/>
    <w:rsid w:val="7111480F"/>
    <w:rsid w:val="712156B5"/>
    <w:rsid w:val="71261F49"/>
    <w:rsid w:val="712E6956"/>
    <w:rsid w:val="71473612"/>
    <w:rsid w:val="71504F32"/>
    <w:rsid w:val="7152309F"/>
    <w:rsid w:val="718F7F65"/>
    <w:rsid w:val="71F52423"/>
    <w:rsid w:val="727B234E"/>
    <w:rsid w:val="72D0666E"/>
    <w:rsid w:val="72D068C7"/>
    <w:rsid w:val="72DD1280"/>
    <w:rsid w:val="72E42ED8"/>
    <w:rsid w:val="733C5CEE"/>
    <w:rsid w:val="735F4CB9"/>
    <w:rsid w:val="73674C62"/>
    <w:rsid w:val="737E3BF1"/>
    <w:rsid w:val="73845865"/>
    <w:rsid w:val="739B6D9E"/>
    <w:rsid w:val="73BC1D76"/>
    <w:rsid w:val="73C22300"/>
    <w:rsid w:val="73FB6630"/>
    <w:rsid w:val="748D790E"/>
    <w:rsid w:val="749820CC"/>
    <w:rsid w:val="74A362F9"/>
    <w:rsid w:val="74C3009F"/>
    <w:rsid w:val="74CE04EC"/>
    <w:rsid w:val="74E76DCD"/>
    <w:rsid w:val="74F46A51"/>
    <w:rsid w:val="7505762E"/>
    <w:rsid w:val="751D7C0A"/>
    <w:rsid w:val="75722D56"/>
    <w:rsid w:val="75DB5477"/>
    <w:rsid w:val="75FC6AC3"/>
    <w:rsid w:val="7616619B"/>
    <w:rsid w:val="76660D7C"/>
    <w:rsid w:val="766C5968"/>
    <w:rsid w:val="76BE0C8F"/>
    <w:rsid w:val="76CD53B2"/>
    <w:rsid w:val="770719AC"/>
    <w:rsid w:val="776526CC"/>
    <w:rsid w:val="779F3F67"/>
    <w:rsid w:val="77A262E1"/>
    <w:rsid w:val="77B13C33"/>
    <w:rsid w:val="77ED6F44"/>
    <w:rsid w:val="77F45548"/>
    <w:rsid w:val="784E7CA6"/>
    <w:rsid w:val="78574801"/>
    <w:rsid w:val="7873527F"/>
    <w:rsid w:val="790A6425"/>
    <w:rsid w:val="790E2D96"/>
    <w:rsid w:val="791B54B2"/>
    <w:rsid w:val="79274CA3"/>
    <w:rsid w:val="795A0A34"/>
    <w:rsid w:val="797339C3"/>
    <w:rsid w:val="79C26B3D"/>
    <w:rsid w:val="79D57D57"/>
    <w:rsid w:val="79F00650"/>
    <w:rsid w:val="7A6242BF"/>
    <w:rsid w:val="7A794513"/>
    <w:rsid w:val="7A957C6C"/>
    <w:rsid w:val="7AE952D2"/>
    <w:rsid w:val="7AEF6DC1"/>
    <w:rsid w:val="7C7248A0"/>
    <w:rsid w:val="7C976D69"/>
    <w:rsid w:val="7CD752DA"/>
    <w:rsid w:val="7CDE40AB"/>
    <w:rsid w:val="7CF057E2"/>
    <w:rsid w:val="7D1548B5"/>
    <w:rsid w:val="7DF84014"/>
    <w:rsid w:val="7E207949"/>
    <w:rsid w:val="7E510C9D"/>
    <w:rsid w:val="7E5C0A47"/>
    <w:rsid w:val="7E670C75"/>
    <w:rsid w:val="7E8617AD"/>
    <w:rsid w:val="7ED763A7"/>
    <w:rsid w:val="7EE24272"/>
    <w:rsid w:val="7EEA6053"/>
    <w:rsid w:val="7F487C04"/>
    <w:rsid w:val="7F867819"/>
    <w:rsid w:val="7FAD638D"/>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7795</Words>
  <Characters>8666</Characters>
  <Lines>0</Lines>
  <Paragraphs>0</Paragraphs>
  <TotalTime>12</TotalTime>
  <ScaleCrop>false</ScaleCrop>
  <LinksUpToDate>false</LinksUpToDate>
  <CharactersWithSpaces>8678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2025-04-08T04:12:35Z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947C89A51A89417F973B09F0C12EE1F1</vt:lpwstr>
  </property>
</Properties>
</file>