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z w:val="32"/>
          <w:szCs w:val="32"/>
        </w:rPr>
      </w:pPr>
    </w:p>
    <w:p>
      <w:pPr>
        <w:jc w:val="center"/>
        <w:rPr>
          <w:rFonts w:hint="eastAsia"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裕民县发展和改革委员会</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2023年度部门决算</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8"/>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部门概况</w:t>
      </w:r>
      <w:r>
        <w:rPr>
          <w:rFonts w:hint="eastAsia" w:ascii="仿宋_GB2312" w:hAnsi="仿宋_GB2312" w:eastAsia="仿宋_GB2312" w:cs="仿宋_GB2312"/>
          <w:b/>
          <w:bCs/>
          <w:sz w:val="32"/>
          <w:szCs w:val="32"/>
        </w:rPr>
        <w:fldChar w:fldCharType="end"/>
      </w:r>
    </w:p>
    <w:p>
      <w:pPr>
        <w:pStyle w:val="9"/>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9"/>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8"/>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9"/>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9"/>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9"/>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9"/>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9"/>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9"/>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9"/>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9"/>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9"/>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5"/>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5"/>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5"/>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9"/>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9"/>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8"/>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8"/>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9"/>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9"/>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9"/>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9"/>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9"/>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9"/>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9"/>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9"/>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9"/>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部门概况</w:t>
      </w:r>
      <w:bookmarkEnd w:id="0"/>
      <w:bookmarkEnd w:id="1"/>
    </w:p>
    <w:p>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ind w:firstLine="640" w:firstLineChars="200"/>
        <w:rPr>
          <w:rFonts w:ascii="仿宋_GB2312" w:eastAsia="仿宋_GB2312"/>
          <w:sz w:val="32"/>
          <w:szCs w:val="32"/>
        </w:rPr>
      </w:pPr>
      <w:bookmarkStart w:id="4" w:name="_Toc31238"/>
      <w:bookmarkStart w:id="5" w:name="_Toc2151"/>
      <w:r>
        <w:rPr>
          <w:rFonts w:hint="eastAsia" w:ascii="仿宋_GB2312" w:eastAsia="仿宋_GB2312"/>
          <w:sz w:val="32"/>
          <w:szCs w:val="32"/>
        </w:rPr>
        <w:t>（一）研究提出本县国民经济和社会发展战略、中长期规划，贯彻执行国家国民经济和社会发展方针、政策；统筹协调县域经济社会发展，研究分析县内外经济形势；提出国民经济发展、价格总水平调控，优化重大经济结构的目标、政策，提出综合运用各种经济手段和政策的建议；组织研究、协调实施重点专项规划，衔接、平衡各单位及主要行业的规划；受县政府委托向县人大提交国民经济和社会发展计划报告。</w:t>
      </w:r>
    </w:p>
    <w:p>
      <w:pPr>
        <w:ind w:firstLine="640" w:firstLineChars="200"/>
        <w:rPr>
          <w:rFonts w:ascii="仿宋_GB2312" w:eastAsia="仿宋_GB2312"/>
          <w:sz w:val="32"/>
          <w:szCs w:val="32"/>
        </w:rPr>
      </w:pPr>
      <w:r>
        <w:rPr>
          <w:rFonts w:hint="eastAsia" w:ascii="仿宋_GB2312" w:eastAsia="仿宋_GB2312"/>
          <w:sz w:val="32"/>
          <w:szCs w:val="32"/>
        </w:rPr>
        <w:t>（二）负责监测宏观经济和社会发展态势，承担预测预警和信息引导的责任；提出促进国民经济持续快速协调健康发展的措施建议；研究涉及本县经济安全及总体产业安全等重要问题并提出措施建议。</w:t>
      </w:r>
    </w:p>
    <w:p>
      <w:pPr>
        <w:ind w:firstLine="640" w:firstLineChars="200"/>
        <w:rPr>
          <w:rFonts w:ascii="仿宋_GB2312" w:eastAsia="仿宋_GB2312"/>
          <w:sz w:val="32"/>
          <w:szCs w:val="32"/>
        </w:rPr>
      </w:pPr>
      <w:r>
        <w:rPr>
          <w:rFonts w:hint="eastAsia" w:ascii="仿宋_GB2312" w:eastAsia="仿宋_GB2312"/>
          <w:sz w:val="32"/>
          <w:szCs w:val="32"/>
        </w:rPr>
        <w:t>（三）负责汇总分析财政、金融、产业、价格政策等方面的情况和执行效果，提出措施建议；组织实施价格政策；制定和调整县政府管理的重要商品价格、服务价格和收费项目、标准；发布重大价格信息，规范市场价格行为等。</w:t>
      </w:r>
    </w:p>
    <w:p>
      <w:pPr>
        <w:ind w:firstLine="640" w:firstLineChars="200"/>
        <w:rPr>
          <w:rFonts w:ascii="仿宋_GB2312" w:eastAsia="仿宋_GB2312"/>
          <w:sz w:val="32"/>
          <w:szCs w:val="32"/>
        </w:rPr>
      </w:pPr>
      <w:r>
        <w:rPr>
          <w:rFonts w:hint="eastAsia" w:ascii="仿宋_GB2312" w:eastAsia="仿宋_GB2312"/>
          <w:sz w:val="32"/>
          <w:szCs w:val="32"/>
        </w:rPr>
        <w:t>（四）承担指导推进和综合协调经济体制改革的责任，研究县域经济体制改革和对外开放的重大问题，组织拟订综合性经济体制改革方案，协调有关专项经济体制改革方案，指导经济体制改革试点工作；组织拟订县域经济协调发展规划；负责县对口援疆有关综合协调工作；负责本县推进实施“一带一路”建设的日常组织协调工作；推进西部大开发战略和重大政策的实施；推进本县城镇化建设。</w:t>
      </w:r>
    </w:p>
    <w:p>
      <w:pPr>
        <w:ind w:firstLine="640" w:firstLineChars="200"/>
        <w:rPr>
          <w:rFonts w:ascii="仿宋_GB2312" w:eastAsia="仿宋_GB2312"/>
          <w:sz w:val="32"/>
          <w:szCs w:val="32"/>
        </w:rPr>
      </w:pPr>
      <w:r>
        <w:rPr>
          <w:rFonts w:hint="eastAsia" w:ascii="仿宋_GB2312" w:eastAsia="仿宋_GB2312"/>
          <w:sz w:val="32"/>
          <w:szCs w:val="32"/>
        </w:rPr>
        <w:t>（五）承担规划重大建设项目和生产力布局的责任，研究提出本县全社会固定资产投资总规模和投资结构的目标政策及措施，规划重大项目和生产力布局；衔接平衡需要中央财政、自治区财政、地区财政、县财政投资和涉及重大建设项目的专项规划；编制、下达固定资产投资计划、重点项目建设计划和前期项目计划；负责重大项目的管理和组织协调；安排县财政预算内建设资金，引导社会投资方向；按照管理权限，负责审核上报、审批、核准、备案固定资产投资项目，审查、审批项目初步设计；组织实施本县固定资产投资项目节能评估审查工作；指导和协调本县招投标工作；会同有关部门对重大项目招投标活动进行监督管理。</w:t>
      </w:r>
    </w:p>
    <w:p>
      <w:pPr>
        <w:ind w:firstLine="640" w:firstLineChars="200"/>
        <w:rPr>
          <w:rFonts w:ascii="仿宋_GB2312" w:eastAsia="仿宋_GB2312"/>
          <w:sz w:val="32"/>
          <w:szCs w:val="32"/>
        </w:rPr>
      </w:pPr>
      <w:r>
        <w:rPr>
          <w:rFonts w:hint="eastAsia" w:ascii="仿宋_GB2312" w:eastAsia="仿宋_GB2312"/>
          <w:sz w:val="32"/>
          <w:szCs w:val="32"/>
        </w:rPr>
        <w:t>（六）推进产业结构战略性调整和升级。贯彻执行国家、自治区、地区综合性产业政策，负责协调第一、二、三产业发展的重大问题，做好与国民经济和社会发展规划、计划的衔接平衡；提出国民经济重要产业的发展战略和规划，组织审核上报、审批专项规划；研究农业和农村经济社会发展的有关重大问题，衔接农村专项规划和政策；组织实施以工代赈规划和计划；研究提出能源发展规划；规划、指导服务业的建设与发展。</w:t>
      </w:r>
    </w:p>
    <w:p>
      <w:pPr>
        <w:ind w:firstLine="640" w:firstLineChars="200"/>
        <w:rPr>
          <w:rFonts w:ascii="仿宋_GB2312" w:eastAsia="仿宋_GB2312"/>
          <w:sz w:val="32"/>
          <w:szCs w:val="32"/>
        </w:rPr>
      </w:pPr>
      <w:r>
        <w:rPr>
          <w:rFonts w:hint="eastAsia" w:ascii="仿宋_GB2312" w:eastAsia="仿宋_GB2312"/>
          <w:sz w:val="32"/>
          <w:szCs w:val="32"/>
        </w:rPr>
        <w:t>（七）承担重要商品宏观调控的责任，研究分析市场供求状况。</w:t>
      </w:r>
    </w:p>
    <w:p>
      <w:pPr>
        <w:ind w:firstLine="640" w:firstLineChars="200"/>
        <w:rPr>
          <w:rFonts w:ascii="仿宋_GB2312" w:eastAsia="仿宋_GB2312"/>
          <w:sz w:val="32"/>
          <w:szCs w:val="32"/>
        </w:rPr>
      </w:pPr>
      <w:r>
        <w:rPr>
          <w:rFonts w:hint="eastAsia" w:ascii="仿宋_GB2312" w:eastAsia="仿宋_GB2312"/>
          <w:sz w:val="32"/>
          <w:szCs w:val="32"/>
        </w:rPr>
        <w:t>（八）负责全县社会发展与国民经济发展的政策衔接，组织拟订社会发展战略、总体规划，参与拟定人口和计划生育、科学技术、教育、文化、卫生、民政等发展规划和计划，协调全县社会事业发展的重大问题；研究提出促进就业、消费、调整收入分配、完善社会保障与经济协调发展的措施建议。</w:t>
      </w:r>
    </w:p>
    <w:p>
      <w:pPr>
        <w:ind w:firstLine="640" w:firstLineChars="200"/>
        <w:rPr>
          <w:rFonts w:ascii="仿宋_GB2312" w:eastAsia="仿宋_GB2312"/>
          <w:sz w:val="32"/>
          <w:szCs w:val="32"/>
        </w:rPr>
      </w:pPr>
      <w:r>
        <w:rPr>
          <w:rFonts w:hint="eastAsia" w:ascii="仿宋_GB2312" w:eastAsia="仿宋_GB2312"/>
          <w:sz w:val="32"/>
          <w:szCs w:val="32"/>
        </w:rPr>
        <w:t>（九）推进可持续发展战略，负责本县全社会节能监察综合协调工作，组织提出发展循环经济、全社会能源资源节约和综合利用规划及政策措施。会同有关部门研究提出全县生态建设、环境保护规划、资源节约综合利用规划和政策；协调生态建设、环保产业和资源节约综合利用的重大问题，综合协调环保产业和清洁生产等有关工作。</w:t>
      </w:r>
    </w:p>
    <w:p>
      <w:pPr>
        <w:ind w:firstLine="640" w:firstLineChars="200"/>
        <w:rPr>
          <w:rFonts w:ascii="仿宋_GB2312" w:eastAsia="仿宋_GB2312"/>
          <w:sz w:val="32"/>
          <w:szCs w:val="32"/>
        </w:rPr>
      </w:pPr>
      <w:r>
        <w:rPr>
          <w:rFonts w:hint="eastAsia" w:ascii="仿宋_GB2312" w:eastAsia="仿宋_GB2312"/>
          <w:sz w:val="32"/>
          <w:szCs w:val="32"/>
        </w:rPr>
        <w:t>（十）研究全县国民经济和社会发展以及经济体制改革和对外开放的有关措施建议。</w:t>
      </w:r>
    </w:p>
    <w:p>
      <w:pPr>
        <w:ind w:firstLine="640" w:firstLineChars="200"/>
        <w:rPr>
          <w:rFonts w:ascii="仿宋_GB2312" w:eastAsia="仿宋_GB2312"/>
          <w:sz w:val="32"/>
          <w:szCs w:val="32"/>
        </w:rPr>
      </w:pPr>
      <w:r>
        <w:rPr>
          <w:rFonts w:hint="eastAsia" w:ascii="仿宋_GB2312" w:eastAsia="仿宋_GB2312"/>
          <w:sz w:val="32"/>
          <w:szCs w:val="32"/>
        </w:rPr>
        <w:t xml:space="preserve">（十一）贯彻执行国家、自治区、地区粮食和物资储备的方针政策和法律法规，拟定粮食流通、地方储备粮油和物资储备管理的实施意见。 </w:t>
      </w:r>
    </w:p>
    <w:p>
      <w:pPr>
        <w:ind w:firstLine="640" w:firstLineChars="200"/>
        <w:rPr>
          <w:rFonts w:ascii="仿宋_GB2312" w:eastAsia="仿宋_GB2312"/>
          <w:sz w:val="32"/>
          <w:szCs w:val="32"/>
        </w:rPr>
      </w:pPr>
      <w:r>
        <w:rPr>
          <w:rFonts w:hint="eastAsia" w:ascii="仿宋_GB2312" w:eastAsia="仿宋_GB2312"/>
          <w:sz w:val="32"/>
          <w:szCs w:val="32"/>
        </w:rPr>
        <w:t>（十二）研究提出地方储备粮油和物资储备规划、储备品种目录的建议；负责编制粮油、棉花、食糖、食盐等重要商品储备、轮换和投放计划；组织实施地方储备粮油、棉花、食糖、食盐等物资的储备、轮换和日常管理；承担中央、自治区和地区级救灾物资储备管理及县级救灾物资采购和储备管理工作，落实有关动用计划和指令。</w:t>
      </w:r>
    </w:p>
    <w:p>
      <w:pPr>
        <w:ind w:firstLine="640" w:firstLineChars="200"/>
        <w:rPr>
          <w:rFonts w:ascii="仿宋_GB2312" w:eastAsia="仿宋_GB2312"/>
          <w:sz w:val="32"/>
          <w:szCs w:val="32"/>
        </w:rPr>
      </w:pPr>
      <w:r>
        <w:rPr>
          <w:rFonts w:hint="eastAsia" w:ascii="仿宋_GB2312" w:eastAsia="仿宋_GB2312"/>
          <w:sz w:val="32"/>
          <w:szCs w:val="32"/>
        </w:rPr>
        <w:t>（十三）负责地方储备粮油行政管理工作，指导和协调地方储备粮油管理，研究提出地方储备粮油总体布局和收购、销售、轮换计划建议。承担粮食监测预警和应急责任，承担粮食安全责任制考核的日常工作。承担粮食和物资储备系统军民融合工作。</w:t>
      </w:r>
    </w:p>
    <w:p>
      <w:pPr>
        <w:ind w:firstLine="640" w:firstLineChars="200"/>
        <w:rPr>
          <w:rFonts w:ascii="仿宋_GB2312" w:eastAsia="仿宋_GB2312"/>
          <w:sz w:val="32"/>
          <w:szCs w:val="32"/>
        </w:rPr>
      </w:pPr>
      <w:r>
        <w:rPr>
          <w:rFonts w:hint="eastAsia" w:ascii="仿宋_GB2312" w:eastAsia="仿宋_GB2312"/>
          <w:sz w:val="32"/>
          <w:szCs w:val="32"/>
        </w:rPr>
        <w:t>（十四）组织实施国家粮食和物资储备仓储管理有关技术标准和规范，指导粮食流通和物资储备承储单位安全生产工作。</w:t>
      </w:r>
    </w:p>
    <w:p>
      <w:pPr>
        <w:ind w:firstLine="640" w:firstLineChars="200"/>
        <w:rPr>
          <w:rFonts w:ascii="仿宋_GB2312" w:eastAsia="仿宋_GB2312"/>
          <w:sz w:val="32"/>
          <w:szCs w:val="32"/>
        </w:rPr>
      </w:pPr>
      <w:r>
        <w:rPr>
          <w:rFonts w:hint="eastAsia" w:ascii="仿宋_GB2312" w:eastAsia="仿宋_GB2312"/>
          <w:sz w:val="32"/>
          <w:szCs w:val="32"/>
        </w:rPr>
        <w:t>（十五）根据粮食和物资储备总体发展规划，统一负责储备基础设施建设和管理。拟订储备基础设施、粮食流通设施规划并组织实施，管理有关储备基础设施和粮食流通设施国家、自治区、地区和县投资项目。</w:t>
      </w:r>
    </w:p>
    <w:p>
      <w:pPr>
        <w:ind w:firstLine="640" w:firstLineChars="200"/>
        <w:rPr>
          <w:rFonts w:ascii="仿宋_GB2312" w:eastAsia="仿宋_GB2312"/>
          <w:sz w:val="32"/>
          <w:szCs w:val="32"/>
        </w:rPr>
      </w:pPr>
      <w:r>
        <w:rPr>
          <w:rFonts w:hint="eastAsia" w:ascii="仿宋_GB2312" w:eastAsia="仿宋_GB2312"/>
          <w:sz w:val="32"/>
          <w:szCs w:val="32"/>
        </w:rPr>
        <w:t>（十六）负责对管理的县政府储备、企业储备以及储备政策落实情况和粮食流通进行监督检查，负责粮食收购、储存、运输环节质量安全和原粮卫生的监督管理，组织实施粮食库存检查工作。</w:t>
      </w:r>
    </w:p>
    <w:p>
      <w:pPr>
        <w:ind w:firstLine="640" w:firstLineChars="200"/>
        <w:rPr>
          <w:rFonts w:ascii="仿宋_GB2312" w:eastAsia="仿宋_GB2312"/>
          <w:sz w:val="32"/>
          <w:szCs w:val="32"/>
        </w:rPr>
      </w:pPr>
      <w:r>
        <w:rPr>
          <w:rFonts w:hint="eastAsia" w:ascii="仿宋_GB2312" w:eastAsia="仿宋_GB2312"/>
          <w:sz w:val="32"/>
          <w:szCs w:val="32"/>
        </w:rPr>
        <w:t>（十七）负责粮食流通行政管理、行业指导，起草粮食行业发展规划，组织实施国家粮食流通和物资储备有关标准、粮食质量标准和技术规范，会同有关部门拟订粮食流通和物资储备有关地方标准和技术规范并监督执行。承担粮食流通的对外合作与交流。</w:t>
      </w:r>
    </w:p>
    <w:p>
      <w:pPr>
        <w:ind w:firstLine="640" w:firstLineChars="200"/>
        <w:rPr>
          <w:rFonts w:hint="eastAsia" w:ascii="仿宋_GB2312" w:hAnsi="仿宋" w:eastAsia="仿宋_GB2312"/>
          <w:sz w:val="32"/>
          <w:szCs w:val="32"/>
        </w:rPr>
      </w:pPr>
      <w:r>
        <w:rPr>
          <w:rFonts w:hint="eastAsia" w:ascii="仿宋_GB2312" w:eastAsia="仿宋_GB2312"/>
          <w:sz w:val="32"/>
          <w:szCs w:val="32"/>
        </w:rPr>
        <w:t>（十八）完成县委、县人民政府及上级主管部门交办的其他工作任务。</w:t>
      </w:r>
    </w:p>
    <w:p>
      <w:pPr>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rPr>
          <w:rFonts w:hint="eastAsia" w:ascii="仿宋_GB2312" w:hAnsi="仿宋_GB2312" w:eastAsia="仿宋_GB2312" w:cs="仿宋_GB2312"/>
          <w:b/>
          <w:sz w:val="32"/>
          <w:szCs w:val="32"/>
        </w:rPr>
      </w:pPr>
      <w:r>
        <w:rPr>
          <w:rFonts w:hint="eastAsia" w:ascii="仿宋_GB2312" w:eastAsia="仿宋_GB2312"/>
          <w:sz w:val="32"/>
          <w:szCs w:val="32"/>
        </w:rPr>
        <w:t>裕民县发展和改革委员会2023年度，实有人数</w:t>
      </w:r>
      <w:r>
        <w:rPr>
          <w:rFonts w:hint="eastAsia" w:ascii="仿宋_GB2312" w:eastAsia="仿宋_GB2312"/>
          <w:sz w:val="32"/>
          <w:szCs w:val="32"/>
          <w:lang w:val="zh-CN"/>
        </w:rPr>
        <w:t>52</w:t>
      </w:r>
      <w:r>
        <w:rPr>
          <w:rFonts w:hint="eastAsia" w:ascii="仿宋_GB2312" w:eastAsia="仿宋_GB2312"/>
          <w:sz w:val="32"/>
          <w:szCs w:val="32"/>
        </w:rPr>
        <w:t>人，其中：在职人员</w:t>
      </w:r>
      <w:r>
        <w:rPr>
          <w:rFonts w:hint="eastAsia" w:ascii="仿宋_GB2312" w:eastAsia="仿宋_GB2312"/>
          <w:sz w:val="32"/>
          <w:szCs w:val="32"/>
          <w:lang w:val="zh-CN"/>
        </w:rPr>
        <w:t>24</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28</w:t>
      </w:r>
      <w:r>
        <w:rPr>
          <w:rFonts w:hint="eastAsia" w:ascii="仿宋_GB2312" w:eastAsia="仿宋_GB2312"/>
          <w:sz w:val="32"/>
          <w:szCs w:val="32"/>
        </w:rPr>
        <w:t>人。</w:t>
      </w:r>
    </w:p>
    <w:p>
      <w:pPr>
        <w:widowControl/>
        <w:ind w:firstLine="640" w:firstLineChars="200"/>
        <w:rPr>
          <w:rFonts w:hint="eastAsia" w:ascii="仿宋_GB2312" w:hAnsi="宋体" w:eastAsia="仿宋_GB2312" w:cs="宋体"/>
          <w:kern w:val="0"/>
          <w:sz w:val="32"/>
          <w:szCs w:val="32"/>
        </w:rPr>
      </w:pPr>
      <w:r>
        <w:rPr>
          <w:rFonts w:hint="eastAsia" w:ascii="仿宋_GB2312" w:hAnsi="黑体" w:eastAsia="仿宋_GB2312" w:cs="宋体"/>
          <w:bCs/>
          <w:kern w:val="0"/>
          <w:sz w:val="32"/>
          <w:szCs w:val="32"/>
        </w:rPr>
        <w:t>单位无下属预算单位，</w:t>
      </w:r>
      <w:r>
        <w:rPr>
          <w:rFonts w:hint="eastAsia" w:ascii="仿宋_GB2312" w:hAnsi="宋体" w:eastAsia="仿宋_GB2312" w:cs="宋体"/>
          <w:kern w:val="0"/>
          <w:sz w:val="32"/>
          <w:szCs w:val="32"/>
        </w:rPr>
        <w:t>下设8个处室，分别是：办公室、财务室、项目服务中心、对口援疆办公室、价格服务中心、“一带一路”建设服务中心、粮食质量安全检测站、军粮供应站。</w:t>
      </w:r>
    </w:p>
    <w:p>
      <w:pPr>
        <w:ind w:firstLine="640" w:firstLineChars="200"/>
        <w:rPr>
          <w:rFonts w:hint="eastAsia" w:ascii="仿宋_GB2312" w:hAnsi="宋体" w:eastAsia="仿宋_GB2312" w:cs="宋体"/>
          <w:kern w:val="0"/>
          <w:sz w:val="32"/>
          <w:szCs w:val="32"/>
          <w:highlight w:val="red"/>
        </w:rPr>
        <w:sectPr>
          <w:footerReference r:id="rId3" w:type="default"/>
          <w:pgSz w:w="11906" w:h="16838"/>
          <w:pgMar w:top="1440" w:right="1800" w:bottom="1440" w:left="1800" w:header="851" w:footer="992" w:gutter="0"/>
          <w:cols w:space="720" w:num="1"/>
          <w:docGrid w:type="lines" w:linePitch="312" w:charSpace="0"/>
        </w:sectPr>
      </w:pPr>
    </w:p>
    <w:p>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3" w:firstLineChars="200"/>
        <w:rPr>
          <w:rFonts w:ascii="仿宋_GB2312" w:eastAsia="仿宋_GB2312"/>
          <w:sz w:val="32"/>
          <w:szCs w:val="32"/>
        </w:rPr>
      </w:pPr>
      <w:r>
        <w:rPr>
          <w:rFonts w:hint="eastAsia" w:ascii="仿宋_GB2312" w:eastAsia="仿宋_GB2312"/>
          <w:b/>
          <w:bCs/>
          <w:sz w:val="32"/>
          <w:szCs w:val="32"/>
        </w:rPr>
        <w:t>2023年度收入总计627.08万元，</w:t>
      </w:r>
      <w:r>
        <w:rPr>
          <w:rFonts w:hint="eastAsia" w:ascii="仿宋_GB2312" w:eastAsia="仿宋_GB2312"/>
          <w:sz w:val="32"/>
          <w:szCs w:val="32"/>
        </w:rPr>
        <w:t>其中：本年收入合计551.61万元，使用非财政拨款结余0.00万元，年初结转和结余75.47万元。</w:t>
      </w:r>
    </w:p>
    <w:p>
      <w:pPr>
        <w:ind w:firstLine="643" w:firstLineChars="200"/>
        <w:rPr>
          <w:rFonts w:ascii="仿宋_GB2312" w:eastAsia="仿宋_GB2312"/>
          <w:sz w:val="32"/>
          <w:szCs w:val="32"/>
        </w:rPr>
      </w:pPr>
      <w:r>
        <w:rPr>
          <w:rFonts w:hint="eastAsia" w:ascii="仿宋_GB2312" w:eastAsia="仿宋_GB2312"/>
          <w:b/>
          <w:bCs/>
          <w:sz w:val="32"/>
          <w:szCs w:val="32"/>
        </w:rPr>
        <w:t>2023年度支出总计627.08万元，</w:t>
      </w:r>
      <w:r>
        <w:rPr>
          <w:rFonts w:hint="eastAsia" w:ascii="仿宋_GB2312" w:eastAsia="仿宋_GB2312"/>
          <w:sz w:val="32"/>
          <w:szCs w:val="32"/>
        </w:rPr>
        <w:t>其中：本年支出合计551.70万元，结余分配0.00万元，年末结转和结余75.38万元。</w:t>
      </w:r>
    </w:p>
    <w:p>
      <w:pPr>
        <w:ind w:firstLine="643" w:firstLineChars="200"/>
        <w:rPr>
          <w:rFonts w:ascii="仿宋_GB2312" w:eastAsia="仿宋_GB2312"/>
          <w:sz w:val="32"/>
          <w:szCs w:val="32"/>
          <w:highlight w:val="yellow"/>
        </w:rPr>
      </w:pPr>
      <w:r>
        <w:rPr>
          <w:rFonts w:hint="eastAsia" w:ascii="仿宋_GB2312" w:eastAsia="仿宋_GB2312"/>
          <w:b/>
          <w:bCs/>
          <w:sz w:val="32"/>
          <w:szCs w:val="32"/>
        </w:rPr>
        <w:t>收入支出总体与上年相比，</w:t>
      </w:r>
      <w:r>
        <w:rPr>
          <w:rFonts w:hint="eastAsia" w:ascii="仿宋_GB2312" w:eastAsia="仿宋_GB2312"/>
          <w:sz w:val="32"/>
          <w:szCs w:val="32"/>
          <w:lang w:val="zh-CN"/>
        </w:rPr>
        <w:t>减少48.97万元，下降7.24%</w:t>
      </w:r>
      <w:r>
        <w:rPr>
          <w:rFonts w:hint="eastAsia" w:ascii="仿宋_GB2312" w:eastAsia="仿宋_GB2312"/>
          <w:sz w:val="32"/>
          <w:szCs w:val="32"/>
        </w:rPr>
        <w:t>，主要原因是：本年有</w:t>
      </w:r>
      <w:r>
        <w:rPr>
          <w:rFonts w:hint="eastAsia" w:ascii="仿宋_GB2312" w:hAnsi="仿宋_GB2312" w:eastAsia="仿宋_GB2312" w:cs="仿宋_GB2312"/>
          <w:sz w:val="32"/>
          <w:szCs w:val="32"/>
        </w:rPr>
        <w:t>裕民县粮食质量安全检验检测项目、县级成品粮油储备补贴项目及小麦原粮储备补贴项目等</w:t>
      </w:r>
      <w:r>
        <w:rPr>
          <w:rFonts w:hint="eastAsia" w:ascii="仿宋_GB2312" w:eastAsia="仿宋_GB2312"/>
          <w:sz w:val="32"/>
          <w:szCs w:val="32"/>
        </w:rPr>
        <w:t>。</w:t>
      </w:r>
    </w:p>
    <w:p>
      <w:pPr>
        <w:ind w:firstLine="640" w:firstLineChars="200"/>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3" w:firstLineChars="200"/>
        <w:rPr>
          <w:rFonts w:ascii="仿宋_GB2312" w:eastAsia="仿宋_GB2312"/>
          <w:sz w:val="32"/>
          <w:szCs w:val="32"/>
        </w:rPr>
      </w:pPr>
      <w:r>
        <w:rPr>
          <w:rFonts w:hint="eastAsia" w:ascii="仿宋_GB2312" w:eastAsia="仿宋_GB2312"/>
          <w:b/>
          <w:bCs/>
          <w:sz w:val="32"/>
          <w:szCs w:val="32"/>
        </w:rPr>
        <w:t>本年收入551.61万元，</w:t>
      </w:r>
      <w:r>
        <w:rPr>
          <w:rFonts w:hint="eastAsia" w:ascii="仿宋_GB2312" w:eastAsia="仿宋_GB2312"/>
          <w:sz w:val="32"/>
          <w:szCs w:val="32"/>
        </w:rPr>
        <w:t>其中：财政拨款收入</w:t>
      </w:r>
      <w:r>
        <w:rPr>
          <w:rFonts w:hint="eastAsia" w:ascii="仿宋_GB2312" w:eastAsia="仿宋_GB2312"/>
          <w:sz w:val="32"/>
          <w:szCs w:val="32"/>
          <w:lang w:val="zh-CN"/>
        </w:rPr>
        <w:t>551.30</w:t>
      </w:r>
      <w:r>
        <w:rPr>
          <w:rFonts w:hint="eastAsia" w:ascii="仿宋_GB2312" w:eastAsia="仿宋_GB2312"/>
          <w:sz w:val="32"/>
          <w:szCs w:val="32"/>
        </w:rPr>
        <w:t>万元，占</w:t>
      </w:r>
      <w:r>
        <w:rPr>
          <w:rFonts w:hint="eastAsia" w:ascii="仿宋_GB2312" w:eastAsia="仿宋_GB2312"/>
          <w:sz w:val="32"/>
          <w:szCs w:val="32"/>
          <w:lang w:val="zh-CN"/>
        </w:rPr>
        <w:t>99.94</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0.31</w:t>
      </w:r>
      <w:r>
        <w:rPr>
          <w:rFonts w:hint="eastAsia" w:ascii="仿宋_GB2312" w:eastAsia="仿宋_GB2312"/>
          <w:sz w:val="32"/>
          <w:szCs w:val="32"/>
        </w:rPr>
        <w:t>万元，占</w:t>
      </w:r>
      <w:r>
        <w:rPr>
          <w:rFonts w:hint="eastAsia" w:ascii="仿宋_GB2312" w:eastAsia="仿宋_GB2312"/>
          <w:sz w:val="32"/>
          <w:szCs w:val="32"/>
          <w:lang w:val="zh-CN"/>
        </w:rPr>
        <w:t>0.06</w:t>
      </w:r>
      <w:r>
        <w:rPr>
          <w:rFonts w:hint="eastAsia" w:ascii="仿宋_GB2312" w:eastAsia="仿宋_GB2312"/>
          <w:sz w:val="32"/>
          <w:szCs w:val="32"/>
        </w:rPr>
        <w:t>%。</w:t>
      </w:r>
    </w:p>
    <w:p>
      <w:pPr>
        <w:ind w:firstLine="640" w:firstLineChars="200"/>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3" w:firstLineChars="200"/>
        <w:rPr>
          <w:rFonts w:eastAsia="仿宋_GB2312" w:cs="仿宋_GB2312"/>
          <w:sz w:val="30"/>
          <w:szCs w:val="30"/>
          <w:lang w:val="zh-CN"/>
        </w:rPr>
      </w:pPr>
      <w:r>
        <w:rPr>
          <w:rFonts w:hint="eastAsia" w:eastAsia="仿宋_GB2312" w:cs="仿宋_GB2312"/>
          <w:b/>
          <w:bCs/>
          <w:sz w:val="32"/>
          <w:szCs w:val="32"/>
          <w:lang w:val="zh-CN"/>
        </w:rPr>
        <w:t>本年支出</w:t>
      </w:r>
      <w:r>
        <w:rPr>
          <w:rFonts w:hint="eastAsia" w:ascii="仿宋_GB2312" w:hAnsi="仿宋_GB2312" w:eastAsia="仿宋_GB2312" w:cs="仿宋_GB2312"/>
          <w:b/>
          <w:bCs/>
          <w:sz w:val="32"/>
          <w:szCs w:val="32"/>
          <w:lang w:val="zh-CN"/>
        </w:rPr>
        <w:t>551.70</w:t>
      </w:r>
      <w:r>
        <w:rPr>
          <w:rFonts w:hint="eastAsia" w:eastAsia="仿宋_GB2312" w:cs="仿宋_GB2312"/>
          <w:b/>
          <w:bCs/>
          <w:sz w:val="32"/>
          <w:szCs w:val="32"/>
          <w:lang w:val="zh-CN"/>
        </w:rPr>
        <w:t>万元，</w:t>
      </w:r>
      <w:r>
        <w:rPr>
          <w:rFonts w:hint="eastAsia" w:eastAsia="仿宋_GB2312" w:cs="仿宋_GB2312"/>
          <w:sz w:val="32"/>
          <w:szCs w:val="32"/>
          <w:lang w:val="zh-CN"/>
        </w:rPr>
        <w:t>其中：基本支出</w:t>
      </w:r>
      <w:r>
        <w:rPr>
          <w:rFonts w:hint="eastAsia" w:ascii="仿宋_GB2312" w:hAnsi="仿宋_GB2312" w:eastAsia="仿宋_GB2312" w:cs="仿宋_GB2312"/>
          <w:sz w:val="32"/>
          <w:szCs w:val="32"/>
          <w:lang w:val="zh-CN"/>
        </w:rPr>
        <w:t>416.80</w:t>
      </w:r>
      <w:r>
        <w:rPr>
          <w:rFonts w:hint="eastAsia" w:eastAsia="仿宋_GB2312" w:cs="仿宋_GB2312"/>
          <w:sz w:val="32"/>
          <w:szCs w:val="32"/>
          <w:lang w:val="zh-CN"/>
        </w:rPr>
        <w:t>万元，</w:t>
      </w:r>
      <w:r>
        <w:rPr>
          <w:rFonts w:hint="eastAsia" w:ascii="仿宋_GB2312" w:hAnsi="仿宋_GB2312" w:eastAsia="仿宋_GB2312" w:cs="仿宋_GB2312"/>
          <w:sz w:val="32"/>
          <w:szCs w:val="32"/>
          <w:lang w:val="zh-CN"/>
        </w:rPr>
        <w:t>占75.55%；项目支出134.90万元，占24.45%；上缴上级支出0.00万元，占0.00%；经营支出0.00万元，占0.00%；对附属单位补助支出0.00万元，占0.00%。</w:t>
      </w:r>
    </w:p>
    <w:p>
      <w:pPr>
        <w:ind w:firstLine="640" w:firstLineChars="200"/>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3" w:firstLineChars="200"/>
        <w:rPr>
          <w:rFonts w:ascii="仿宋_GB2312" w:eastAsia="仿宋_GB2312"/>
          <w:sz w:val="32"/>
          <w:szCs w:val="32"/>
        </w:rPr>
      </w:pPr>
      <w:r>
        <w:rPr>
          <w:rFonts w:hint="eastAsia" w:ascii="仿宋_GB2312" w:eastAsia="仿宋_GB2312"/>
          <w:b/>
          <w:bCs/>
          <w:sz w:val="32"/>
          <w:szCs w:val="32"/>
        </w:rPr>
        <w:t>2023年度财政拨款收入总计</w:t>
      </w:r>
      <w:r>
        <w:rPr>
          <w:rFonts w:hint="eastAsia" w:ascii="仿宋_GB2312" w:eastAsia="仿宋_GB2312"/>
          <w:b/>
          <w:bCs/>
          <w:sz w:val="32"/>
          <w:szCs w:val="32"/>
          <w:lang w:val="zh-CN"/>
        </w:rPr>
        <w:t>576.67</w:t>
      </w:r>
      <w:r>
        <w:rPr>
          <w:rFonts w:hint="eastAsia" w:ascii="仿宋_GB2312" w:eastAsia="仿宋_GB2312"/>
          <w:b/>
          <w:bCs/>
          <w:sz w:val="32"/>
          <w:szCs w:val="32"/>
        </w:rPr>
        <w:t>万元，</w:t>
      </w:r>
      <w:r>
        <w:rPr>
          <w:rFonts w:hint="eastAsia" w:ascii="仿宋_GB2312" w:eastAsia="仿宋_GB2312"/>
          <w:sz w:val="32"/>
          <w:szCs w:val="32"/>
        </w:rPr>
        <w:t>其中：年初财政拨款结转和结余</w:t>
      </w:r>
      <w:r>
        <w:rPr>
          <w:rFonts w:hint="eastAsia" w:ascii="仿宋_GB2312" w:eastAsia="仿宋_GB2312"/>
          <w:sz w:val="32"/>
          <w:szCs w:val="32"/>
          <w:lang w:val="zh-CN"/>
        </w:rPr>
        <w:t>25.37</w:t>
      </w:r>
      <w:r>
        <w:rPr>
          <w:rFonts w:hint="eastAsia" w:ascii="仿宋_GB2312" w:eastAsia="仿宋_GB2312"/>
          <w:sz w:val="32"/>
          <w:szCs w:val="32"/>
        </w:rPr>
        <w:t>万元，本年财政拨款收入</w:t>
      </w:r>
      <w:r>
        <w:rPr>
          <w:rFonts w:hint="eastAsia" w:ascii="仿宋_GB2312" w:eastAsia="仿宋_GB2312"/>
          <w:sz w:val="32"/>
          <w:szCs w:val="32"/>
          <w:lang w:val="zh-CN"/>
        </w:rPr>
        <w:t>551.30</w:t>
      </w:r>
      <w:r>
        <w:rPr>
          <w:rFonts w:hint="eastAsia" w:ascii="仿宋_GB2312" w:eastAsia="仿宋_GB2312"/>
          <w:sz w:val="32"/>
          <w:szCs w:val="32"/>
        </w:rPr>
        <w:t>万元。</w:t>
      </w:r>
      <w:r>
        <w:rPr>
          <w:rFonts w:hint="eastAsia" w:ascii="仿宋_GB2312" w:eastAsia="仿宋_GB2312"/>
          <w:b/>
          <w:bCs/>
          <w:sz w:val="32"/>
          <w:szCs w:val="32"/>
        </w:rPr>
        <w:t>财政拨款支出总计</w:t>
      </w:r>
      <w:r>
        <w:rPr>
          <w:rFonts w:hint="eastAsia" w:ascii="仿宋_GB2312" w:eastAsia="仿宋_GB2312"/>
          <w:b/>
          <w:bCs/>
          <w:sz w:val="32"/>
          <w:szCs w:val="32"/>
          <w:lang w:val="zh-CN"/>
        </w:rPr>
        <w:t>576.67</w:t>
      </w:r>
      <w:r>
        <w:rPr>
          <w:rFonts w:hint="eastAsia" w:ascii="仿宋_GB2312" w:eastAsia="仿宋_GB2312"/>
          <w:b/>
          <w:bCs/>
          <w:sz w:val="32"/>
          <w:szCs w:val="32"/>
        </w:rPr>
        <w:t>万元，</w:t>
      </w:r>
      <w:r>
        <w:rPr>
          <w:rFonts w:hint="eastAsia" w:ascii="仿宋_GB2312" w:eastAsia="仿宋_GB2312"/>
          <w:sz w:val="32"/>
          <w:szCs w:val="32"/>
        </w:rPr>
        <w:t>其中：年末财政拨款结转和结余</w:t>
      </w:r>
      <w:r>
        <w:rPr>
          <w:rFonts w:hint="eastAsia" w:ascii="仿宋_GB2312" w:eastAsia="仿宋_GB2312"/>
          <w:sz w:val="32"/>
          <w:szCs w:val="32"/>
          <w:lang w:val="zh-CN"/>
        </w:rPr>
        <w:t>25.37</w:t>
      </w:r>
      <w:r>
        <w:rPr>
          <w:rFonts w:hint="eastAsia" w:ascii="仿宋_GB2312" w:eastAsia="仿宋_GB2312"/>
          <w:sz w:val="32"/>
          <w:szCs w:val="32"/>
        </w:rPr>
        <w:t>万元，本年财政拨款支出</w:t>
      </w:r>
      <w:r>
        <w:rPr>
          <w:rFonts w:hint="eastAsia" w:ascii="仿宋_GB2312" w:eastAsia="仿宋_GB2312"/>
          <w:sz w:val="32"/>
          <w:szCs w:val="32"/>
          <w:lang w:val="zh-CN"/>
        </w:rPr>
        <w:t>551.30</w:t>
      </w:r>
      <w:r>
        <w:rPr>
          <w:rFonts w:hint="eastAsia" w:ascii="仿宋_GB2312" w:eastAsia="仿宋_GB2312"/>
          <w:sz w:val="32"/>
          <w:szCs w:val="32"/>
        </w:rPr>
        <w:t>万元。</w:t>
      </w:r>
    </w:p>
    <w:p>
      <w:pPr>
        <w:ind w:firstLine="643" w:firstLineChars="200"/>
        <w:rPr>
          <w:rFonts w:ascii="仿宋_GB2312" w:eastAsia="仿宋_GB2312"/>
          <w:sz w:val="32"/>
          <w:szCs w:val="32"/>
        </w:rPr>
      </w:pPr>
      <w:r>
        <w:rPr>
          <w:rFonts w:hint="eastAsia" w:ascii="仿宋_GB2312" w:eastAsia="仿宋_GB2312"/>
          <w:b/>
          <w:bCs/>
          <w:sz w:val="32"/>
          <w:szCs w:val="32"/>
        </w:rPr>
        <w:t>财政拨款收入支出总体与上年相比,</w:t>
      </w:r>
      <w:r>
        <w:rPr>
          <w:rFonts w:hint="eastAsia" w:ascii="仿宋_GB2312" w:eastAsia="仿宋_GB2312"/>
          <w:sz w:val="32"/>
          <w:szCs w:val="32"/>
        </w:rPr>
        <w:t>减少49.22万元，下降7.86%</w:t>
      </w:r>
      <w:r>
        <w:rPr>
          <w:rFonts w:hint="eastAsia" w:ascii="仿宋_GB2312" w:eastAsia="仿宋_GB2312"/>
          <w:sz w:val="32"/>
          <w:szCs w:val="32"/>
          <w:lang w:val="zh-CN"/>
        </w:rPr>
        <w:t>，</w:t>
      </w:r>
      <w:r>
        <w:rPr>
          <w:rFonts w:hint="eastAsia" w:ascii="仿宋_GB2312" w:eastAsia="仿宋_GB2312"/>
          <w:sz w:val="32"/>
          <w:szCs w:val="32"/>
        </w:rPr>
        <w:t>主要原因是：</w:t>
      </w:r>
      <w:r>
        <w:rPr>
          <w:rFonts w:hint="eastAsia" w:ascii="仿宋_GB2312" w:hAnsi="仿宋_GB2312" w:eastAsia="仿宋_GB2312" w:cs="仿宋_GB2312"/>
          <w:sz w:val="32"/>
          <w:szCs w:val="32"/>
        </w:rPr>
        <w:t>本年无粮油收储公司土地变性确权等项目收入支出</w:t>
      </w:r>
      <w:r>
        <w:rPr>
          <w:rFonts w:hint="eastAsia" w:ascii="仿宋_GB2312" w:eastAsia="仿宋_GB2312"/>
          <w:sz w:val="32"/>
          <w:szCs w:val="32"/>
        </w:rPr>
        <w:t>。与年初预算相比，年初预算数</w:t>
      </w:r>
      <w:r>
        <w:rPr>
          <w:rFonts w:hint="eastAsia" w:ascii="仿宋_GB2312" w:eastAsia="仿宋_GB2312"/>
          <w:sz w:val="32"/>
          <w:szCs w:val="32"/>
          <w:lang w:val="zh-CN"/>
        </w:rPr>
        <w:t>611.77</w:t>
      </w:r>
      <w:r>
        <w:rPr>
          <w:rFonts w:hint="eastAsia" w:ascii="仿宋_GB2312" w:eastAsia="仿宋_GB2312"/>
          <w:sz w:val="32"/>
          <w:szCs w:val="32"/>
        </w:rPr>
        <w:t>万元，决算数</w:t>
      </w:r>
      <w:r>
        <w:rPr>
          <w:rFonts w:hint="eastAsia" w:ascii="仿宋_GB2312" w:eastAsia="仿宋_GB2312"/>
          <w:sz w:val="32"/>
          <w:szCs w:val="32"/>
          <w:lang w:val="zh-CN"/>
        </w:rPr>
        <w:t>576.67</w:t>
      </w:r>
      <w:r>
        <w:rPr>
          <w:rFonts w:hint="eastAsia" w:ascii="仿宋_GB2312" w:eastAsia="仿宋_GB2312"/>
          <w:sz w:val="32"/>
          <w:szCs w:val="32"/>
        </w:rPr>
        <w:t>万元，预决算差异率-5.74%，主要原因是</w:t>
      </w:r>
      <w:r>
        <w:rPr>
          <w:rFonts w:hint="eastAsia" w:ascii="仿宋_GB2312" w:hAnsi="仿宋_GB2312" w:eastAsia="仿宋_GB2312" w:cs="仿宋_GB2312"/>
          <w:sz w:val="32"/>
          <w:szCs w:val="32"/>
        </w:rPr>
        <w:t>总收入中包含上年结转资金75.47万元，本年执行过程中有人员调资变动，拨入农产品成本调查补助经费3.28万元，地区拨入粮油供需调查补助经费650.00元，拨入赴辽培训</w:t>
      </w:r>
      <w:r>
        <w:rPr>
          <w:rFonts w:hint="eastAsia" w:ascii="仿宋_GB2312" w:eastAsia="仿宋_GB2312"/>
          <w:sz w:val="32"/>
          <w:szCs w:val="32"/>
        </w:rPr>
        <w:t>交通补助费2450.00元。</w:t>
      </w:r>
    </w:p>
    <w:p>
      <w:pPr>
        <w:ind w:firstLine="640" w:firstLineChars="200"/>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pPr>
        <w:ind w:firstLine="643" w:firstLineChars="200"/>
        <w:rPr>
          <w:rFonts w:hint="eastAsia" w:ascii="黑体" w:hAnsi="黑体" w:eastAsia="黑体" w:cs="宋体"/>
          <w:bCs/>
          <w:kern w:val="0"/>
          <w:sz w:val="32"/>
          <w:szCs w:val="32"/>
        </w:rPr>
      </w:pPr>
      <w:r>
        <w:rPr>
          <w:rFonts w:hint="eastAsia" w:ascii="仿宋_GB2312" w:eastAsia="仿宋_GB2312"/>
          <w:b/>
          <w:bCs/>
          <w:sz w:val="32"/>
          <w:szCs w:val="32"/>
        </w:rPr>
        <w:t>2023年度一般公共预算财政拨款支出551.30万元，</w:t>
      </w:r>
      <w:r>
        <w:rPr>
          <w:rFonts w:hint="eastAsia" w:ascii="仿宋_GB2312" w:eastAsia="仿宋_GB2312"/>
          <w:sz w:val="32"/>
          <w:szCs w:val="32"/>
        </w:rPr>
        <w:t>占本年支出合计的</w:t>
      </w:r>
      <w:r>
        <w:rPr>
          <w:rFonts w:hint="eastAsia" w:ascii="仿宋_GB2312" w:eastAsia="仿宋_GB2312"/>
          <w:sz w:val="32"/>
          <w:szCs w:val="32"/>
          <w:lang w:val="zh-CN"/>
        </w:rPr>
        <w:t>99.93%</w:t>
      </w:r>
      <w:r>
        <w:rPr>
          <w:rFonts w:hint="eastAsia" w:ascii="仿宋_GB2312" w:eastAsia="仿宋_GB2312"/>
          <w:sz w:val="32"/>
          <w:szCs w:val="32"/>
        </w:rPr>
        <w:t>。</w:t>
      </w:r>
      <w:r>
        <w:rPr>
          <w:rFonts w:hint="eastAsia" w:ascii="仿宋_GB2312" w:eastAsia="仿宋_GB2312"/>
          <w:b/>
          <w:bCs/>
          <w:sz w:val="32"/>
          <w:szCs w:val="32"/>
        </w:rPr>
        <w:t>与上年相比，</w:t>
      </w:r>
      <w:r>
        <w:rPr>
          <w:rFonts w:hint="eastAsia" w:ascii="仿宋_GB2312" w:eastAsia="仿宋_GB2312"/>
          <w:sz w:val="32"/>
          <w:szCs w:val="32"/>
        </w:rPr>
        <w:t>减少了49.21</w:t>
      </w:r>
      <w:r>
        <w:rPr>
          <w:rFonts w:hint="eastAsia" w:ascii="仿宋_GB2312" w:eastAsia="仿宋_GB2312"/>
          <w:sz w:val="32"/>
          <w:szCs w:val="32"/>
          <w:lang w:val="zh-CN"/>
        </w:rPr>
        <w:t>万元</w:t>
      </w:r>
      <w:r>
        <w:rPr>
          <w:rFonts w:hint="eastAsia" w:ascii="仿宋_GB2312" w:eastAsia="仿宋_GB2312"/>
          <w:sz w:val="32"/>
          <w:szCs w:val="32"/>
        </w:rPr>
        <w:t>，降低了8.19</w:t>
      </w:r>
      <w:r>
        <w:rPr>
          <w:rFonts w:hint="eastAsia" w:ascii="仿宋_GB2312" w:eastAsia="仿宋_GB2312"/>
          <w:sz w:val="32"/>
          <w:szCs w:val="32"/>
          <w:lang w:val="zh-CN"/>
        </w:rPr>
        <w:t>%，</w:t>
      </w:r>
      <w:r>
        <w:rPr>
          <w:rFonts w:hint="eastAsia" w:ascii="仿宋_GB2312" w:eastAsia="仿宋_GB2312"/>
          <w:sz w:val="32"/>
          <w:szCs w:val="32"/>
        </w:rPr>
        <w:t>主要原因是</w:t>
      </w:r>
      <w:r>
        <w:rPr>
          <w:rFonts w:hint="eastAsia" w:ascii="仿宋_GB2312" w:hAnsi="仿宋_GB2312" w:eastAsia="仿宋_GB2312" w:cs="仿宋_GB2312"/>
          <w:sz w:val="32"/>
          <w:szCs w:val="32"/>
        </w:rPr>
        <w:t>本年无粮油收储公司土地变性确权等项目收入支出</w:t>
      </w:r>
      <w:r>
        <w:rPr>
          <w:rFonts w:hint="eastAsia" w:ascii="仿宋_GB2312" w:eastAsia="仿宋_GB2312"/>
          <w:sz w:val="32"/>
          <w:szCs w:val="32"/>
        </w:rPr>
        <w:t>。</w:t>
      </w:r>
      <w:r>
        <w:rPr>
          <w:rFonts w:hint="eastAsia" w:ascii="仿宋_GB2312" w:eastAsia="仿宋_GB2312"/>
          <w:b/>
          <w:bCs/>
          <w:sz w:val="32"/>
          <w:szCs w:val="32"/>
        </w:rPr>
        <w:t>与年初预算相比，</w:t>
      </w:r>
      <w:r>
        <w:rPr>
          <w:rFonts w:hint="eastAsia" w:ascii="仿宋_GB2312" w:eastAsia="仿宋_GB2312"/>
          <w:sz w:val="32"/>
          <w:szCs w:val="32"/>
        </w:rPr>
        <w:t>年初预算数</w:t>
      </w:r>
      <w:r>
        <w:rPr>
          <w:rFonts w:hint="eastAsia" w:ascii="仿宋_GB2312" w:eastAsia="仿宋_GB2312"/>
          <w:sz w:val="32"/>
          <w:szCs w:val="32"/>
          <w:lang w:val="zh-CN"/>
        </w:rPr>
        <w:t>611.77</w:t>
      </w:r>
      <w:r>
        <w:rPr>
          <w:rFonts w:hint="eastAsia" w:ascii="仿宋_GB2312" w:eastAsia="仿宋_GB2312"/>
          <w:sz w:val="32"/>
          <w:szCs w:val="32"/>
        </w:rPr>
        <w:t>万元，决算数</w:t>
      </w:r>
      <w:r>
        <w:rPr>
          <w:rFonts w:hint="eastAsia" w:ascii="仿宋_GB2312" w:eastAsia="仿宋_GB2312"/>
          <w:sz w:val="32"/>
          <w:szCs w:val="32"/>
          <w:lang w:val="zh-CN"/>
        </w:rPr>
        <w:t>551.30</w:t>
      </w:r>
      <w:r>
        <w:rPr>
          <w:rFonts w:hint="eastAsia" w:ascii="仿宋_GB2312" w:eastAsia="仿宋_GB2312"/>
          <w:sz w:val="32"/>
          <w:szCs w:val="32"/>
        </w:rPr>
        <w:t>万元，预决算差异率</w:t>
      </w:r>
      <w:r>
        <w:rPr>
          <w:rFonts w:hint="eastAsia" w:ascii="仿宋_GB2312" w:eastAsia="仿宋_GB2312"/>
          <w:sz w:val="32"/>
          <w:szCs w:val="32"/>
          <w:lang w:val="zh-CN"/>
        </w:rPr>
        <w:t>-9.89%</w:t>
      </w:r>
      <w:r>
        <w:rPr>
          <w:rFonts w:hint="eastAsia" w:ascii="仿宋_GB2312" w:eastAsia="仿宋_GB2312"/>
          <w:sz w:val="32"/>
          <w:szCs w:val="32"/>
        </w:rPr>
        <w:t>，主要原因是：本年有项目经费未支出，造成年初预算数大于决算数。</w:t>
      </w:r>
    </w:p>
    <w:p>
      <w:pPr>
        <w:ind w:firstLine="640" w:firstLineChars="200"/>
        <w:outlineLvl w:val="2"/>
        <w:rPr>
          <w:rFonts w:hint="eastAsia" w:ascii="黑体" w:hAnsi="黑体" w:eastAsia="黑体" w:cs="宋体"/>
          <w:bCs/>
          <w:kern w:val="0"/>
          <w:sz w:val="32"/>
          <w:szCs w:val="32"/>
        </w:rPr>
      </w:pPr>
      <w:r>
        <w:rPr>
          <w:rFonts w:hint="eastAsia" w:ascii="黑体" w:hAnsi="黑体" w:eastAsia="黑体"/>
          <w:sz w:val="32"/>
          <w:szCs w:val="32"/>
        </w:rPr>
        <w:t>（二）</w:t>
      </w:r>
      <w:r>
        <w:rPr>
          <w:rFonts w:hint="eastAsia" w:ascii="黑体" w:hAnsi="黑体" w:eastAsia="黑体" w:cs="宋体"/>
          <w:bCs/>
          <w:kern w:val="0"/>
          <w:sz w:val="32"/>
          <w:szCs w:val="32"/>
        </w:rPr>
        <w:t>一般公共预算财政拨款支出决算结构情况</w:t>
      </w:r>
    </w:p>
    <w:p>
      <w:pPr>
        <w:pStyle w:val="10"/>
        <w:widowControl/>
        <w:spacing w:before="0" w:beforeAutospacing="0" w:after="0" w:afterAutospacing="0"/>
        <w:ind w:firstLine="640" w:firstLineChars="200"/>
        <w:jc w:val="both"/>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hint="eastAsia" w:ascii="仿宋_GB2312" w:eastAsia="仿宋_GB2312"/>
          <w:kern w:val="2"/>
          <w:sz w:val="32"/>
          <w:szCs w:val="32"/>
          <w:lang w:val="zh-CN"/>
        </w:rPr>
        <w:t>329.</w:t>
      </w:r>
      <w:r>
        <w:rPr>
          <w:rFonts w:hint="eastAsia" w:ascii="仿宋_GB2312" w:eastAsia="仿宋_GB2312"/>
          <w:kern w:val="2"/>
          <w:sz w:val="32"/>
          <w:szCs w:val="32"/>
        </w:rPr>
        <w:t>26</w:t>
      </w:r>
      <w:r>
        <w:rPr>
          <w:rFonts w:ascii="仿宋_GB2312" w:eastAsia="仿宋_GB2312"/>
          <w:kern w:val="2"/>
          <w:sz w:val="32"/>
          <w:szCs w:val="32"/>
          <w:lang w:val="zh-CN"/>
        </w:rPr>
        <w:t>万元，占</w:t>
      </w:r>
      <w:r>
        <w:rPr>
          <w:rFonts w:hint="eastAsia" w:ascii="仿宋_GB2312" w:eastAsia="仿宋_GB2312"/>
          <w:kern w:val="2"/>
          <w:sz w:val="32"/>
          <w:szCs w:val="32"/>
          <w:lang w:val="zh-CN"/>
        </w:rPr>
        <w:t>59.7</w:t>
      </w:r>
      <w:r>
        <w:rPr>
          <w:rFonts w:hint="eastAsia" w:ascii="仿宋_GB2312" w:eastAsia="仿宋_GB2312"/>
          <w:kern w:val="2"/>
          <w:sz w:val="32"/>
          <w:szCs w:val="32"/>
        </w:rPr>
        <w:t>2</w:t>
      </w:r>
      <w:r>
        <w:rPr>
          <w:rFonts w:ascii="仿宋_GB2312" w:eastAsia="仿宋_GB2312"/>
          <w:kern w:val="2"/>
          <w:sz w:val="32"/>
          <w:szCs w:val="32"/>
          <w:lang w:val="zh-CN"/>
        </w:rPr>
        <w:t>%；</w:t>
      </w:r>
    </w:p>
    <w:p>
      <w:pPr>
        <w:pStyle w:val="10"/>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2</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58.84</w:t>
      </w:r>
      <w:r>
        <w:rPr>
          <w:rFonts w:ascii="仿宋_GB2312" w:eastAsia="仿宋_GB2312"/>
          <w:kern w:val="2"/>
          <w:sz w:val="32"/>
          <w:szCs w:val="32"/>
          <w:lang w:val="zh-CN"/>
        </w:rPr>
        <w:t>万元，占</w:t>
      </w:r>
      <w:r>
        <w:rPr>
          <w:rFonts w:hint="eastAsia" w:ascii="仿宋_GB2312" w:eastAsia="仿宋_GB2312"/>
          <w:kern w:val="2"/>
          <w:sz w:val="32"/>
          <w:szCs w:val="32"/>
          <w:lang w:val="zh-CN"/>
        </w:rPr>
        <w:t>10.67</w:t>
      </w:r>
      <w:r>
        <w:rPr>
          <w:rFonts w:ascii="仿宋_GB2312" w:eastAsia="仿宋_GB2312"/>
          <w:kern w:val="2"/>
          <w:sz w:val="32"/>
          <w:szCs w:val="32"/>
          <w:lang w:val="zh-CN"/>
        </w:rPr>
        <w:t>%；</w:t>
      </w:r>
    </w:p>
    <w:p>
      <w:pPr>
        <w:pStyle w:val="10"/>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3</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18.96</w:t>
      </w:r>
      <w:r>
        <w:rPr>
          <w:rFonts w:ascii="仿宋_GB2312" w:eastAsia="仿宋_GB2312"/>
          <w:kern w:val="2"/>
          <w:sz w:val="32"/>
          <w:szCs w:val="32"/>
          <w:lang w:val="zh-CN"/>
        </w:rPr>
        <w:t>万元，占</w:t>
      </w:r>
      <w:r>
        <w:rPr>
          <w:rFonts w:hint="eastAsia" w:ascii="仿宋_GB2312" w:eastAsia="仿宋_GB2312"/>
          <w:kern w:val="2"/>
          <w:sz w:val="32"/>
          <w:szCs w:val="32"/>
          <w:lang w:val="zh-CN"/>
        </w:rPr>
        <w:t>3.44</w:t>
      </w:r>
      <w:r>
        <w:rPr>
          <w:rFonts w:ascii="仿宋_GB2312" w:eastAsia="仿宋_GB2312"/>
          <w:kern w:val="2"/>
          <w:sz w:val="32"/>
          <w:szCs w:val="32"/>
          <w:lang w:val="zh-CN"/>
        </w:rPr>
        <w:t>%；</w:t>
      </w:r>
    </w:p>
    <w:p>
      <w:pPr>
        <w:pStyle w:val="10"/>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4</w:t>
      </w:r>
      <w:r>
        <w:rPr>
          <w:rFonts w:ascii="仿宋_GB2312" w:eastAsia="仿宋_GB2312"/>
          <w:kern w:val="2"/>
          <w:sz w:val="32"/>
          <w:szCs w:val="32"/>
          <w:lang w:val="zh-CN"/>
        </w:rPr>
        <w:t>.农林水支出（类）</w:t>
      </w:r>
      <w:r>
        <w:rPr>
          <w:rFonts w:hint="eastAsia" w:ascii="仿宋_GB2312" w:eastAsia="仿宋_GB2312"/>
          <w:kern w:val="2"/>
          <w:sz w:val="32"/>
          <w:szCs w:val="32"/>
          <w:lang w:val="zh-CN"/>
        </w:rPr>
        <w:t>4.88</w:t>
      </w:r>
      <w:r>
        <w:rPr>
          <w:rFonts w:ascii="仿宋_GB2312" w:eastAsia="仿宋_GB2312"/>
          <w:kern w:val="2"/>
          <w:sz w:val="32"/>
          <w:szCs w:val="32"/>
          <w:lang w:val="zh-CN"/>
        </w:rPr>
        <w:t>万元，占</w:t>
      </w:r>
      <w:r>
        <w:rPr>
          <w:rFonts w:hint="eastAsia" w:ascii="仿宋_GB2312" w:eastAsia="仿宋_GB2312"/>
          <w:kern w:val="2"/>
          <w:sz w:val="32"/>
          <w:szCs w:val="32"/>
          <w:lang w:val="zh-CN"/>
        </w:rPr>
        <w:t>0.8</w:t>
      </w:r>
      <w:r>
        <w:rPr>
          <w:rFonts w:hint="eastAsia" w:ascii="仿宋_GB2312" w:eastAsia="仿宋_GB2312"/>
          <w:kern w:val="2"/>
          <w:sz w:val="32"/>
          <w:szCs w:val="32"/>
        </w:rPr>
        <w:t>9</w:t>
      </w:r>
      <w:r>
        <w:rPr>
          <w:rFonts w:ascii="仿宋_GB2312" w:eastAsia="仿宋_GB2312"/>
          <w:kern w:val="2"/>
          <w:sz w:val="32"/>
          <w:szCs w:val="32"/>
          <w:lang w:val="zh-CN"/>
        </w:rPr>
        <w:t>%；</w:t>
      </w:r>
    </w:p>
    <w:p>
      <w:pPr>
        <w:pStyle w:val="10"/>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5</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27.67</w:t>
      </w:r>
      <w:r>
        <w:rPr>
          <w:rFonts w:ascii="仿宋_GB2312" w:eastAsia="仿宋_GB2312"/>
          <w:kern w:val="2"/>
          <w:sz w:val="32"/>
          <w:szCs w:val="32"/>
          <w:lang w:val="zh-CN"/>
        </w:rPr>
        <w:t>万元，占</w:t>
      </w:r>
      <w:r>
        <w:rPr>
          <w:rFonts w:hint="eastAsia" w:ascii="仿宋_GB2312" w:eastAsia="仿宋_GB2312"/>
          <w:kern w:val="2"/>
          <w:sz w:val="32"/>
          <w:szCs w:val="32"/>
          <w:lang w:val="zh-CN"/>
        </w:rPr>
        <w:t>5.02</w:t>
      </w:r>
      <w:r>
        <w:rPr>
          <w:rFonts w:ascii="仿宋_GB2312" w:eastAsia="仿宋_GB2312"/>
          <w:kern w:val="2"/>
          <w:sz w:val="32"/>
          <w:szCs w:val="32"/>
          <w:lang w:val="zh-CN"/>
        </w:rPr>
        <w:t>%；</w:t>
      </w:r>
    </w:p>
    <w:p>
      <w:pPr>
        <w:pStyle w:val="10"/>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6</w:t>
      </w:r>
      <w:r>
        <w:rPr>
          <w:rFonts w:ascii="仿宋_GB2312" w:eastAsia="仿宋_GB2312"/>
          <w:kern w:val="2"/>
          <w:sz w:val="32"/>
          <w:szCs w:val="32"/>
          <w:lang w:val="zh-CN"/>
        </w:rPr>
        <w:t>.粮油物资储备支出（类）</w:t>
      </w:r>
      <w:r>
        <w:rPr>
          <w:rFonts w:hint="eastAsia" w:ascii="仿宋_GB2312" w:eastAsia="仿宋_GB2312"/>
          <w:kern w:val="2"/>
          <w:sz w:val="32"/>
          <w:szCs w:val="32"/>
          <w:lang w:val="zh-CN"/>
        </w:rPr>
        <w:t>111.68</w:t>
      </w:r>
      <w:r>
        <w:rPr>
          <w:rFonts w:ascii="仿宋_GB2312" w:eastAsia="仿宋_GB2312"/>
          <w:kern w:val="2"/>
          <w:sz w:val="32"/>
          <w:szCs w:val="32"/>
          <w:lang w:val="zh-CN"/>
        </w:rPr>
        <w:t>万元，占</w:t>
      </w:r>
      <w:r>
        <w:rPr>
          <w:rFonts w:hint="eastAsia" w:ascii="仿宋_GB2312" w:eastAsia="仿宋_GB2312"/>
          <w:kern w:val="2"/>
          <w:sz w:val="32"/>
          <w:szCs w:val="32"/>
          <w:lang w:val="zh-CN"/>
        </w:rPr>
        <w:t>20.26</w:t>
      </w:r>
      <w:r>
        <w:rPr>
          <w:rFonts w:ascii="仿宋_GB2312" w:eastAsia="仿宋_GB2312"/>
          <w:kern w:val="2"/>
          <w:sz w:val="32"/>
          <w:szCs w:val="32"/>
          <w:lang w:val="zh-CN"/>
        </w:rPr>
        <w:t>%；</w:t>
      </w:r>
    </w:p>
    <w:p>
      <w:pPr>
        <w:ind w:firstLine="640" w:firstLineChars="200"/>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pPr>
        <w:pStyle w:val="10"/>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1.一般公共服务支出（类）发展与改革事务（款）社会事业发展规划（项）:支出决算数为14.66万元，比上年决算增加10.66万元，增长266.5%，主要原因是：本年支出了裕民县国民经济十四五规划纲要编制费用</w:t>
      </w:r>
      <w:r>
        <w:rPr>
          <w:rFonts w:hint="eastAsia" w:ascii="仿宋_GB2312" w:eastAsia="仿宋_GB2312"/>
          <w:kern w:val="2"/>
          <w:sz w:val="32"/>
          <w:szCs w:val="32"/>
          <w:lang w:val="zh-CN"/>
        </w:rPr>
        <w:t>。</w:t>
      </w:r>
    </w:p>
    <w:p>
      <w:pPr>
        <w:pStyle w:val="10"/>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2.卫生健康支出（类）行政事业单位医疗（款）行政单位医疗（项）:支出决算数为15.54万元，比上年决算增加1.29万元，增长9.05%，主要原因是：本年新调入公务员一人、新招录事业编一人</w:t>
      </w:r>
      <w:r>
        <w:rPr>
          <w:rFonts w:hint="eastAsia" w:ascii="仿宋_GB2312" w:eastAsia="仿宋_GB2312"/>
          <w:kern w:val="2"/>
          <w:sz w:val="32"/>
          <w:szCs w:val="32"/>
          <w:lang w:val="zh-CN"/>
        </w:rPr>
        <w:t>。</w:t>
      </w:r>
    </w:p>
    <w:p>
      <w:pPr>
        <w:pStyle w:val="10"/>
        <w:widowControl/>
        <w:spacing w:before="0" w:beforeAutospacing="0" w:after="0" w:afterAutospacing="0"/>
        <w:ind w:firstLine="640" w:firstLineChars="200"/>
        <w:jc w:val="both"/>
        <w:rPr>
          <w:rFonts w:ascii="仿宋_GB2312" w:eastAsia="仿宋_GB2312"/>
          <w:kern w:val="2"/>
          <w:sz w:val="32"/>
          <w:szCs w:val="32"/>
        </w:rPr>
      </w:pPr>
      <w:r>
        <w:rPr>
          <w:rFonts w:hint="eastAsia" w:ascii="仿宋_GB2312" w:eastAsia="仿宋_GB2312"/>
          <w:kern w:val="2"/>
          <w:sz w:val="32"/>
          <w:szCs w:val="32"/>
        </w:rPr>
        <w:t>3.一般公共服务支出（类）发展与改革事务（款）行政运行（项）:支出决算数为310.92万元，比上年决算增加21.61万元，增长7.47%，主要原因是：本年办公费支出较多，新调入公务员一人、新招录事业编一人</w:t>
      </w:r>
      <w:r>
        <w:rPr>
          <w:rFonts w:hint="eastAsia" w:ascii="仿宋_GB2312" w:eastAsia="仿宋_GB2312"/>
          <w:kern w:val="2"/>
          <w:sz w:val="32"/>
          <w:szCs w:val="32"/>
          <w:lang w:val="zh-CN"/>
        </w:rPr>
        <w:t>。</w:t>
      </w:r>
    </w:p>
    <w:p>
      <w:pPr>
        <w:ind w:firstLine="640" w:firstLineChars="200"/>
        <w:rPr>
          <w:rFonts w:ascii="仿宋_GB2312" w:eastAsia="仿宋_GB2312"/>
          <w:kern w:val="2"/>
          <w:sz w:val="32"/>
          <w:szCs w:val="32"/>
          <w:highlight w:val="none"/>
        </w:rPr>
      </w:pPr>
      <w:r>
        <w:rPr>
          <w:rFonts w:hint="eastAsia" w:ascii="仿宋_GB2312" w:eastAsia="仿宋_GB2312"/>
          <w:kern w:val="2"/>
          <w:sz w:val="32"/>
          <w:szCs w:val="32"/>
          <w:highlight w:val="none"/>
        </w:rPr>
        <w:t>4.社会保障和就业支出（类）行政事业单位养老支出（款）行政单位离退休（项）:支出决算数为16.02万元，比上年决算减少了14.8万元，降低了48.02%，主要原因是：</w:t>
      </w:r>
      <w:r>
        <w:rPr>
          <w:rFonts w:hint="eastAsia" w:ascii="仿宋_GB2312" w:eastAsia="仿宋_GB2312"/>
          <w:kern w:val="2"/>
          <w:sz w:val="32"/>
          <w:szCs w:val="32"/>
          <w:highlight w:val="none"/>
          <w:lang w:val="en-US" w:eastAsia="zh-CN"/>
        </w:rPr>
        <w:t>2022年有</w:t>
      </w:r>
      <w:r>
        <w:rPr>
          <w:rFonts w:hint="eastAsia" w:ascii="仿宋_GB2312" w:eastAsia="仿宋_GB2312"/>
          <w:sz w:val="32"/>
          <w:szCs w:val="32"/>
          <w:highlight w:val="none"/>
        </w:rPr>
        <w:t>两名在职转退休人员</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本年在职转退休一人，致使</w:t>
      </w:r>
      <w:r>
        <w:rPr>
          <w:rFonts w:hint="eastAsia" w:ascii="仿宋_GB2312" w:eastAsia="仿宋_GB2312"/>
          <w:kern w:val="2"/>
          <w:sz w:val="32"/>
          <w:szCs w:val="32"/>
          <w:highlight w:val="none"/>
        </w:rPr>
        <w:t>行政单位离退休</w:t>
      </w:r>
      <w:r>
        <w:rPr>
          <w:rFonts w:hint="eastAsia" w:ascii="仿宋_GB2312" w:eastAsia="仿宋_GB2312"/>
          <w:kern w:val="2"/>
          <w:sz w:val="32"/>
          <w:szCs w:val="32"/>
          <w:highlight w:val="none"/>
          <w:lang w:val="en-US" w:eastAsia="zh-CN"/>
        </w:rPr>
        <w:t>支出</w:t>
      </w:r>
      <w:r>
        <w:rPr>
          <w:rFonts w:hint="eastAsia" w:ascii="仿宋_GB2312" w:eastAsia="仿宋_GB2312"/>
          <w:sz w:val="32"/>
          <w:szCs w:val="32"/>
          <w:highlight w:val="none"/>
          <w:lang w:val="en-US" w:eastAsia="zh-CN"/>
        </w:rPr>
        <w:t>下降</w:t>
      </w:r>
      <w:r>
        <w:rPr>
          <w:rFonts w:hint="eastAsia" w:ascii="仿宋_GB2312" w:eastAsia="仿宋_GB2312"/>
          <w:sz w:val="32"/>
          <w:szCs w:val="32"/>
          <w:highlight w:val="none"/>
        </w:rPr>
        <w:t>。</w:t>
      </w:r>
    </w:p>
    <w:p>
      <w:pPr>
        <w:pStyle w:val="10"/>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5.一般公共服务支出（类）发展与改革事务（款）其他发展与改革事务支出（项）:支出决算数为3.68万元，比上年决算增加0.9万元，增长32.37%，主要原因是：本年增加了农产品成本调查补助经费支出、粮油供需调查补助经费支出，赴辽培训交通补助费支出</w:t>
      </w:r>
      <w:r>
        <w:rPr>
          <w:rFonts w:hint="eastAsia" w:ascii="仿宋_GB2312" w:eastAsia="仿宋_GB2312"/>
          <w:kern w:val="2"/>
          <w:sz w:val="32"/>
          <w:szCs w:val="32"/>
          <w:lang w:val="zh-CN"/>
        </w:rPr>
        <w:t>。</w:t>
      </w:r>
    </w:p>
    <w:p>
      <w:pPr>
        <w:pStyle w:val="10"/>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6.社会保障和就业支出（类）行政事业单位养老支出（款）机关事业单位基本养老保险缴费支出（项）:支出决算数为34.88万元，比上年决算增加6.19万元，增长21.58%，主要原因是：本年新调入公务员一人、新招录事业编一人</w:t>
      </w:r>
      <w:r>
        <w:rPr>
          <w:rFonts w:hint="eastAsia" w:ascii="仿宋_GB2312" w:eastAsia="仿宋_GB2312"/>
          <w:kern w:val="2"/>
          <w:sz w:val="32"/>
          <w:szCs w:val="32"/>
          <w:lang w:val="zh-CN"/>
        </w:rPr>
        <w:t>。</w:t>
      </w:r>
    </w:p>
    <w:p>
      <w:pPr>
        <w:pStyle w:val="10"/>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7.粮油物资储备支出（类）粮油物资事务（款）其他粮油物资事务支出（项）:支出决算数为2.39万元，比上年决算减少116.75万元，降低97.99%，主要原因是：本年无粮油收储公司土地变性确权项目</w:t>
      </w:r>
      <w:r>
        <w:rPr>
          <w:rFonts w:hint="eastAsia" w:ascii="仿宋_GB2312" w:eastAsia="仿宋_GB2312"/>
          <w:kern w:val="2"/>
          <w:sz w:val="32"/>
          <w:szCs w:val="32"/>
          <w:lang w:val="zh-CN"/>
        </w:rPr>
        <w:t>。</w:t>
      </w:r>
    </w:p>
    <w:p>
      <w:pPr>
        <w:pStyle w:val="10"/>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8.卫生健康支出（类）行政事业单位医疗（款）公务员医疗补助（项）:支出决算数为3.42万元，比上年决算增加0.04万元，增长1.18%，主要原因是：本年新调入公务员一人</w:t>
      </w:r>
      <w:r>
        <w:rPr>
          <w:rFonts w:hint="eastAsia" w:ascii="仿宋_GB2312" w:eastAsia="仿宋_GB2312"/>
          <w:kern w:val="2"/>
          <w:sz w:val="32"/>
          <w:szCs w:val="32"/>
          <w:lang w:val="zh-CN"/>
        </w:rPr>
        <w:t>。</w:t>
      </w:r>
    </w:p>
    <w:p>
      <w:pPr>
        <w:pStyle w:val="10"/>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9.住房保障支出（类）住房改革支出（款）住房公积金（项）:支出决算数为27.67万元，比上年决算增加3.72万元，增长15.53%，主要原因是：本年新调入公务员一人、新招录事业编一人</w:t>
      </w:r>
      <w:r>
        <w:rPr>
          <w:rFonts w:hint="eastAsia" w:ascii="仿宋_GB2312" w:eastAsia="仿宋_GB2312"/>
          <w:kern w:val="2"/>
          <w:sz w:val="32"/>
          <w:szCs w:val="32"/>
          <w:lang w:val="zh-CN"/>
        </w:rPr>
        <w:t>。</w:t>
      </w:r>
    </w:p>
    <w:p>
      <w:pPr>
        <w:pStyle w:val="10"/>
        <w:widowControl/>
        <w:spacing w:before="0" w:beforeAutospacing="0" w:after="0" w:afterAutospacing="0"/>
        <w:ind w:firstLine="640" w:firstLineChars="200"/>
        <w:jc w:val="both"/>
        <w:rPr>
          <w:rFonts w:ascii="仿宋_GB2312" w:eastAsia="仿宋_GB2312"/>
          <w:kern w:val="2"/>
          <w:sz w:val="32"/>
          <w:szCs w:val="32"/>
        </w:rPr>
      </w:pPr>
      <w:r>
        <w:rPr>
          <w:rFonts w:hint="eastAsia" w:ascii="仿宋_GB2312" w:eastAsia="仿宋_GB2312"/>
          <w:kern w:val="2"/>
          <w:sz w:val="32"/>
          <w:szCs w:val="32"/>
        </w:rPr>
        <w:t>10.粮油物资储备支出（类）粮油储备（款）储备粮油补贴（项）:支出决算数为109.30万元，比上年决算增加36.54万元，增长50.22%，主要原因是：本年有县级成品粮油储备补贴项目及小麦原粮储备补贴项目支出。</w:t>
      </w:r>
    </w:p>
    <w:p>
      <w:pPr>
        <w:pStyle w:val="10"/>
        <w:widowControl/>
        <w:spacing w:before="0" w:beforeAutospacing="0" w:after="0" w:afterAutospacing="0"/>
        <w:ind w:firstLine="640" w:firstLineChars="200"/>
        <w:jc w:val="both"/>
        <w:rPr>
          <w:rFonts w:ascii="仿宋_GB2312" w:eastAsia="仿宋_GB2312"/>
          <w:kern w:val="2"/>
          <w:sz w:val="32"/>
          <w:szCs w:val="32"/>
          <w:highlight w:val="none"/>
          <w:lang w:val="zh-CN"/>
        </w:rPr>
      </w:pPr>
      <w:r>
        <w:rPr>
          <w:rFonts w:hint="eastAsia" w:ascii="仿宋_GB2312" w:eastAsia="仿宋_GB2312"/>
          <w:kern w:val="2"/>
          <w:sz w:val="32"/>
          <w:szCs w:val="32"/>
          <w:highlight w:val="none"/>
        </w:rPr>
        <w:t>11.社会保障和就业支出（类）行政事业单位养老支出（款）机关事业单位职业年金缴费支出（项）:支出决算数为7.94万元，比上年决算减少3.49万元，降低30.53%，主要原因是：本年有在职转退休人员一名</w:t>
      </w:r>
      <w:r>
        <w:rPr>
          <w:rFonts w:hint="eastAsia" w:ascii="仿宋_GB2312" w:eastAsia="仿宋_GB2312"/>
          <w:kern w:val="2"/>
          <w:sz w:val="32"/>
          <w:szCs w:val="32"/>
          <w:highlight w:val="none"/>
          <w:lang w:val="zh-CN"/>
        </w:rPr>
        <w:t>。</w:t>
      </w:r>
    </w:p>
    <w:p>
      <w:pPr>
        <w:pStyle w:val="10"/>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12.农林水支出（类）农业农村（款）其他农业农村支出（项）:支出决算数为4.88万元，比上年决算增加4.88万元，增长100%，主要原因是：本年有驻村工作队经费支出</w:t>
      </w:r>
      <w:r>
        <w:rPr>
          <w:rFonts w:hint="eastAsia" w:ascii="仿宋_GB2312" w:eastAsia="仿宋_GB2312"/>
          <w:kern w:val="2"/>
          <w:sz w:val="32"/>
          <w:szCs w:val="32"/>
          <w:lang w:val="zh-CN"/>
        </w:rPr>
        <w:t>。</w:t>
      </w:r>
    </w:p>
    <w:p>
      <w:pPr>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rPr>
          <w:rFonts w:ascii="仿宋_GB2312" w:eastAsia="仿宋_GB2312"/>
          <w:sz w:val="32"/>
          <w:szCs w:val="32"/>
        </w:rPr>
      </w:pPr>
      <w:r>
        <w:rPr>
          <w:rFonts w:hint="eastAsia" w:ascii="仿宋_GB2312" w:eastAsia="仿宋_GB2312"/>
          <w:sz w:val="32"/>
          <w:szCs w:val="32"/>
        </w:rPr>
        <w:t>2023年度一般公共预算财政拨款基本支出416.40万元，其中：</w:t>
      </w:r>
      <w:r>
        <w:rPr>
          <w:rFonts w:hint="eastAsia" w:ascii="仿宋_GB2312" w:eastAsia="仿宋_GB2312"/>
          <w:b/>
          <w:bCs/>
          <w:sz w:val="32"/>
          <w:szCs w:val="32"/>
        </w:rPr>
        <w:t>人员经费396.99万元</w:t>
      </w:r>
      <w:r>
        <w:rPr>
          <w:rFonts w:hint="eastAsia" w:ascii="仿宋_GB2312" w:eastAsia="仿宋_GB2312"/>
          <w:sz w:val="32"/>
          <w:szCs w:val="32"/>
        </w:rPr>
        <w:t>，包括：基本工资、津贴补贴、奖金、绩效工资、机关事业单位基本养老保险缴费、职业年金缴费、职工基本医疗保险缴费、公务员医疗补助缴费、其他社会保障缴费、住房公积金、其他工资福利支出、退休费、生活补助、医疗费补助。</w:t>
      </w:r>
    </w:p>
    <w:p>
      <w:pPr>
        <w:ind w:firstLine="643" w:firstLineChars="200"/>
        <w:rPr>
          <w:rFonts w:ascii="仿宋_GB2312" w:eastAsia="仿宋_GB2312"/>
          <w:sz w:val="32"/>
          <w:szCs w:val="32"/>
          <w:highlight w:val="red"/>
        </w:rPr>
      </w:pPr>
      <w:r>
        <w:rPr>
          <w:rFonts w:hint="eastAsia" w:ascii="仿宋_GB2312" w:eastAsia="仿宋_GB2312"/>
          <w:b/>
          <w:bCs/>
          <w:sz w:val="32"/>
          <w:szCs w:val="32"/>
        </w:rPr>
        <w:t>公用经费19.40万元</w:t>
      </w:r>
      <w:r>
        <w:rPr>
          <w:rFonts w:hint="eastAsia" w:ascii="仿宋_GB2312" w:eastAsia="仿宋_GB2312"/>
          <w:sz w:val="32"/>
          <w:szCs w:val="32"/>
        </w:rPr>
        <w:t>，包括：办公费、水费、电费、邮电费、取暖费、差旅费、维修（护）费、租赁费、劳务费、工会经费、公务用车运行维护费、其他商品和服务支出。</w:t>
      </w:r>
    </w:p>
    <w:p>
      <w:pPr>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3" w:firstLineChars="200"/>
        <w:rPr>
          <w:rFonts w:ascii="仿宋_GB2312" w:eastAsia="仿宋_GB2312"/>
          <w:sz w:val="32"/>
          <w:szCs w:val="32"/>
          <w:lang w:val="zh-CN"/>
        </w:rPr>
      </w:pPr>
      <w:r>
        <w:rPr>
          <w:rFonts w:hint="eastAsia" w:ascii="仿宋_GB2312" w:eastAsia="仿宋_GB2312"/>
          <w:b/>
          <w:bCs/>
          <w:sz w:val="32"/>
          <w:szCs w:val="32"/>
          <w:lang w:val="zh-CN"/>
        </w:rPr>
        <w:t>2023年度</w:t>
      </w:r>
      <w:r>
        <w:rPr>
          <w:rFonts w:hint="eastAsia" w:ascii="仿宋_GB2312" w:eastAsia="仿宋_GB2312"/>
          <w:b/>
          <w:bCs/>
          <w:sz w:val="32"/>
          <w:szCs w:val="32"/>
        </w:rPr>
        <w:t>财政拨款</w:t>
      </w:r>
      <w:r>
        <w:rPr>
          <w:rFonts w:hint="eastAsia" w:ascii="仿宋_GB2312" w:eastAsia="仿宋_GB2312"/>
          <w:b/>
          <w:bCs/>
          <w:sz w:val="32"/>
          <w:szCs w:val="32"/>
          <w:lang w:val="zh-CN"/>
        </w:rPr>
        <w:t>“三公”经费支出2.40万元，</w:t>
      </w:r>
      <w:r>
        <w:rPr>
          <w:rFonts w:hint="eastAsia" w:ascii="仿宋_GB2312" w:eastAsia="仿宋_GB2312"/>
          <w:sz w:val="32"/>
          <w:szCs w:val="32"/>
        </w:rPr>
        <w:t>与上年相比相同</w:t>
      </w:r>
      <w:r>
        <w:rPr>
          <w:rFonts w:hint="eastAsia" w:ascii="仿宋_GB2312" w:eastAsia="仿宋_GB2312"/>
          <w:sz w:val="32"/>
          <w:szCs w:val="32"/>
          <w:lang w:val="zh-CN"/>
        </w:rPr>
        <w:t>。其中：因公出国（境）费支出0.00万元，占0.00%，比上年增加0.00万元，增长0.00%，主要原因是：</w:t>
      </w:r>
      <w:r>
        <w:rPr>
          <w:rFonts w:hint="eastAsia" w:ascii="仿宋_GB2312" w:eastAsia="仿宋_GB2312"/>
          <w:sz w:val="32"/>
          <w:szCs w:val="32"/>
        </w:rPr>
        <w:t>我单位无因公出国（境）费用支出</w:t>
      </w:r>
      <w:r>
        <w:rPr>
          <w:rFonts w:hint="eastAsia" w:ascii="仿宋_GB2312" w:eastAsia="仿宋_GB2312"/>
          <w:sz w:val="32"/>
          <w:szCs w:val="32"/>
          <w:lang w:val="zh-CN"/>
        </w:rPr>
        <w:t>；公务用车购置及运行维护费支出2.40万元，占100.00%，</w:t>
      </w:r>
      <w:r>
        <w:rPr>
          <w:rFonts w:hint="eastAsia" w:ascii="仿宋_GB2312" w:eastAsia="仿宋_GB2312"/>
          <w:sz w:val="32"/>
          <w:szCs w:val="32"/>
        </w:rPr>
        <w:t>与上年相比相同</w:t>
      </w:r>
      <w:r>
        <w:rPr>
          <w:rFonts w:hint="eastAsia" w:ascii="仿宋_GB2312" w:eastAsia="仿宋_GB2312"/>
          <w:sz w:val="32"/>
          <w:szCs w:val="32"/>
          <w:lang w:val="zh-CN"/>
        </w:rPr>
        <w:t>；公务接待费支出0.00万元，占0.00%，比上年增加0.00万元，增长0.00%，主要原因是：</w:t>
      </w:r>
      <w:r>
        <w:rPr>
          <w:rFonts w:hint="eastAsia" w:ascii="仿宋_GB2312" w:eastAsia="仿宋_GB2312"/>
          <w:sz w:val="32"/>
          <w:szCs w:val="32"/>
        </w:rPr>
        <w:t>我单位本年无公务接待费用支出</w:t>
      </w:r>
      <w:r>
        <w:rPr>
          <w:rFonts w:hint="eastAsia" w:ascii="仿宋_GB2312" w:eastAsia="仿宋_GB2312"/>
          <w:sz w:val="32"/>
          <w:szCs w:val="32"/>
          <w:lang w:val="zh-CN"/>
        </w:rPr>
        <w:t>。无差异。</w:t>
      </w:r>
    </w:p>
    <w:p>
      <w:pPr>
        <w:ind w:firstLine="643" w:firstLineChars="200"/>
        <w:rPr>
          <w:rFonts w:ascii="仿宋_GB2312" w:eastAsia="仿宋_GB2312"/>
          <w:b/>
          <w:bCs/>
          <w:sz w:val="32"/>
          <w:szCs w:val="32"/>
          <w:lang w:val="zh-CN"/>
        </w:rPr>
      </w:pPr>
      <w:r>
        <w:rPr>
          <w:rFonts w:hint="eastAsia" w:ascii="仿宋_GB2312" w:eastAsia="仿宋_GB2312"/>
          <w:b/>
          <w:bCs/>
          <w:sz w:val="32"/>
          <w:szCs w:val="32"/>
          <w:lang w:val="zh-CN"/>
        </w:rPr>
        <w:t>具体情况如下：</w:t>
      </w:r>
    </w:p>
    <w:p>
      <w:pPr>
        <w:ind w:firstLine="640" w:firstLineChars="200"/>
        <w:rPr>
          <w:rFonts w:ascii="仿宋_GB2312" w:eastAsia="仿宋_GB2312"/>
          <w:sz w:val="32"/>
          <w:szCs w:val="32"/>
          <w:lang w:val="zh-CN"/>
        </w:rPr>
      </w:pPr>
      <w:r>
        <w:rPr>
          <w:rFonts w:hint="eastAsia" w:ascii="仿宋_GB2312" w:eastAsia="仿宋_GB2312"/>
          <w:sz w:val="32"/>
          <w:szCs w:val="32"/>
          <w:lang w:val="zh-CN"/>
        </w:rPr>
        <w:t>因公出国（境）费支出0.00万元，开支内容包括无此项开支内容。单位全年安排的因公出国（境）团组0个，因公出国（境）0人次。</w:t>
      </w:r>
    </w:p>
    <w:p>
      <w:pPr>
        <w:ind w:firstLine="640" w:firstLineChars="200"/>
        <w:rPr>
          <w:rFonts w:ascii="仿宋_GB2312" w:eastAsia="仿宋_GB2312"/>
          <w:sz w:val="32"/>
          <w:szCs w:val="32"/>
        </w:rPr>
      </w:pPr>
      <w:r>
        <w:rPr>
          <w:rFonts w:hint="eastAsia" w:ascii="仿宋_GB2312" w:eastAsia="仿宋_GB2312"/>
          <w:sz w:val="32"/>
          <w:szCs w:val="32"/>
          <w:lang w:val="zh-CN"/>
        </w:rPr>
        <w:t>公务用车购置及运行维护费2.40万元，其中：公务用车购置费0.00万元，公务用车运行维护费2.40万元。公务用车运行维护费开支内容包括</w:t>
      </w:r>
      <w:r>
        <w:rPr>
          <w:rFonts w:hint="eastAsia" w:ascii="仿宋_GB2312" w:eastAsia="仿宋_GB2312"/>
          <w:sz w:val="32"/>
          <w:szCs w:val="32"/>
        </w:rPr>
        <w:t>车辆加油、车辆保险、</w:t>
      </w:r>
      <w:r>
        <w:rPr>
          <w:rFonts w:hint="eastAsia" w:ascii="仿宋_GB2312" w:hAnsi="新宋体" w:eastAsia="仿宋_GB2312" w:cs="新宋体"/>
          <w:kern w:val="10"/>
          <w:sz w:val="32"/>
          <w:szCs w:val="32"/>
        </w:rPr>
        <w:t>车辆维修、过路停车费</w:t>
      </w:r>
      <w:r>
        <w:rPr>
          <w:rFonts w:hint="eastAsia" w:ascii="仿宋_GB2312" w:eastAsia="仿宋_GB2312"/>
          <w:sz w:val="32"/>
          <w:szCs w:val="32"/>
          <w:lang w:val="zh-CN"/>
        </w:rPr>
        <w:t>。公务用车购置数0辆，公务用车保有量2辆。国有资产占用情况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2辆，与公务用车保有量差异原因是：</w:t>
      </w:r>
      <w:r>
        <w:rPr>
          <w:rFonts w:hint="eastAsia" w:ascii="仿宋_GB2312" w:eastAsia="仿宋_GB2312"/>
          <w:sz w:val="32"/>
          <w:szCs w:val="32"/>
        </w:rPr>
        <w:t>无差异。</w:t>
      </w:r>
    </w:p>
    <w:p>
      <w:pPr>
        <w:ind w:firstLine="640" w:firstLineChars="200"/>
        <w:rPr>
          <w:rFonts w:ascii="仿宋_GB2312" w:eastAsia="仿宋_GB2312"/>
          <w:sz w:val="32"/>
          <w:szCs w:val="32"/>
          <w:lang w:val="zh-CN"/>
        </w:rPr>
      </w:pPr>
      <w:r>
        <w:rPr>
          <w:rFonts w:hint="eastAsia" w:ascii="仿宋_GB2312" w:eastAsia="仿宋_GB2312"/>
          <w:sz w:val="32"/>
          <w:szCs w:val="32"/>
          <w:lang w:val="zh-CN"/>
        </w:rPr>
        <w:t>公务接待费0.00万元，开支内容包括：</w:t>
      </w:r>
      <w:r>
        <w:rPr>
          <w:rFonts w:hint="eastAsia" w:ascii="仿宋_GB2312" w:eastAsia="仿宋_GB2312"/>
          <w:sz w:val="32"/>
          <w:szCs w:val="32"/>
        </w:rPr>
        <w:t>本年无公务接待费支出。</w:t>
      </w:r>
      <w:r>
        <w:rPr>
          <w:rFonts w:hint="eastAsia" w:ascii="仿宋_GB2312" w:eastAsia="仿宋_GB2312"/>
          <w:sz w:val="32"/>
          <w:szCs w:val="32"/>
          <w:lang w:val="zh-CN"/>
        </w:rPr>
        <w:t>单位全年安排的国内公务接待0批次，0人次。</w:t>
      </w:r>
    </w:p>
    <w:p>
      <w:pPr>
        <w:ind w:firstLine="643" w:firstLineChars="200"/>
        <w:rPr>
          <w:rFonts w:ascii="仿宋_GB2312" w:eastAsia="仿宋_GB2312"/>
          <w:sz w:val="32"/>
          <w:szCs w:val="32"/>
          <w:lang w:val="zh-CN"/>
        </w:rPr>
      </w:pPr>
      <w:r>
        <w:rPr>
          <w:rFonts w:hint="eastAsia" w:ascii="仿宋_GB2312" w:eastAsia="仿宋_GB2312"/>
          <w:b/>
          <w:bCs/>
          <w:sz w:val="32"/>
          <w:szCs w:val="32"/>
          <w:lang w:val="zh-CN"/>
        </w:rPr>
        <w:t>与</w:t>
      </w:r>
      <w:r>
        <w:rPr>
          <w:rFonts w:hint="eastAsia" w:ascii="仿宋_GB2312" w:eastAsia="仿宋_GB2312"/>
          <w:b/>
          <w:bCs/>
          <w:sz w:val="32"/>
          <w:szCs w:val="32"/>
        </w:rPr>
        <w:t>全年</w:t>
      </w:r>
      <w:r>
        <w:rPr>
          <w:rFonts w:hint="eastAsia" w:ascii="仿宋_GB2312" w:eastAsia="仿宋_GB2312"/>
          <w:b/>
          <w:bCs/>
          <w:sz w:val="32"/>
          <w:szCs w:val="32"/>
          <w:lang w:val="zh-CN"/>
        </w:rPr>
        <w:t>预算相比</w:t>
      </w:r>
      <w:r>
        <w:rPr>
          <w:rFonts w:hint="eastAsia" w:ascii="仿宋_GB2312" w:eastAsia="仿宋_GB2312"/>
          <w:b/>
          <w:bCs/>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预算数4.00万元，决算数2.40万元，预决算差异率-40.00%，主要原因是：</w:t>
      </w:r>
      <w:r>
        <w:rPr>
          <w:rFonts w:hint="eastAsia" w:ascii="仿宋_GB2312" w:eastAsia="仿宋_GB2312"/>
          <w:sz w:val="32"/>
          <w:szCs w:val="32"/>
        </w:rPr>
        <w:t>本年无公务接待费支出，为贯彻落实过“紧日子”思想，尽力压缩公务用车运行维护费支出</w:t>
      </w:r>
      <w:r>
        <w:rPr>
          <w:rFonts w:hint="eastAsia" w:ascii="仿宋_GB2312" w:eastAsia="仿宋_GB2312"/>
          <w:sz w:val="32"/>
          <w:szCs w:val="32"/>
          <w:lang w:val="zh-CN"/>
        </w:rPr>
        <w:t>。其中：因公出国（境）费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w:t>
      </w:r>
      <w:r>
        <w:rPr>
          <w:rFonts w:hint="eastAsia" w:ascii="仿宋_GB2312" w:eastAsia="仿宋_GB2312"/>
          <w:sz w:val="32"/>
          <w:szCs w:val="32"/>
        </w:rPr>
        <w:t>无差异</w:t>
      </w:r>
      <w:r>
        <w:rPr>
          <w:rFonts w:hint="eastAsia" w:ascii="仿宋_GB2312" w:eastAsia="仿宋_GB2312"/>
          <w:sz w:val="32"/>
          <w:szCs w:val="32"/>
          <w:lang w:val="zh-CN"/>
        </w:rPr>
        <w:t>；公务用车购置费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eastAsia="仿宋_GB2312"/>
          <w:sz w:val="32"/>
          <w:szCs w:val="32"/>
        </w:rPr>
        <w:t>无差异</w:t>
      </w:r>
      <w:r>
        <w:rPr>
          <w:rFonts w:hint="eastAsia" w:ascii="仿宋_GB2312" w:eastAsia="仿宋_GB2312"/>
          <w:sz w:val="32"/>
          <w:szCs w:val="32"/>
          <w:lang w:val="zh-CN"/>
        </w:rPr>
        <w:t>；公务用车运行费</w:t>
      </w:r>
      <w:r>
        <w:rPr>
          <w:rFonts w:hint="eastAsia" w:ascii="仿宋_GB2312" w:eastAsia="仿宋_GB2312"/>
          <w:sz w:val="32"/>
          <w:szCs w:val="32"/>
        </w:rPr>
        <w:t>全年</w:t>
      </w:r>
      <w:r>
        <w:rPr>
          <w:rFonts w:hint="eastAsia" w:ascii="仿宋_GB2312" w:eastAsia="仿宋_GB2312"/>
          <w:sz w:val="32"/>
          <w:szCs w:val="32"/>
          <w:lang w:val="zh-CN"/>
        </w:rPr>
        <w:t>预算数4.00万元，决算数2.40万元，预决算差异率-40.00%，主要原因是：</w:t>
      </w:r>
      <w:r>
        <w:rPr>
          <w:rFonts w:hint="eastAsia" w:ascii="仿宋_GB2312" w:eastAsia="仿宋_GB2312"/>
          <w:sz w:val="32"/>
          <w:szCs w:val="32"/>
        </w:rPr>
        <w:t>为贯彻落实过“紧日子”思想，尽力压缩公务用车运行维护费</w:t>
      </w:r>
      <w:r>
        <w:rPr>
          <w:rFonts w:hint="eastAsia" w:ascii="仿宋_GB2312" w:eastAsia="仿宋_GB2312"/>
          <w:sz w:val="32"/>
          <w:szCs w:val="32"/>
          <w:lang w:val="zh-CN"/>
        </w:rPr>
        <w:t>；公务接待费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eastAsia="仿宋_GB2312"/>
          <w:sz w:val="32"/>
          <w:szCs w:val="32"/>
        </w:rPr>
        <w:t>无差异。</w:t>
      </w:r>
    </w:p>
    <w:p>
      <w:pPr>
        <w:ind w:firstLine="640" w:firstLineChars="200"/>
        <w:outlineLvl w:val="1"/>
        <w:rPr>
          <w:rFonts w:hint="eastAsia"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pPr>
        <w:ind w:firstLine="640" w:firstLineChars="200"/>
        <w:rPr>
          <w:rFonts w:ascii="仿宋_GB2312" w:eastAsia="仿宋_GB2312"/>
          <w:sz w:val="32"/>
          <w:szCs w:val="32"/>
        </w:rPr>
      </w:pPr>
      <w:r>
        <w:rPr>
          <w:rFonts w:hint="eastAsia" w:ascii="仿宋_GB2312" w:eastAsia="仿宋_GB2312"/>
          <w:sz w:val="32"/>
          <w:szCs w:val="32"/>
        </w:rPr>
        <w:t>我部门本年度无政府性基金预算财政拨款收入、支出及结转和结余，政府性基金预算财政拨款收入支出决算表为空表。</w:t>
      </w:r>
    </w:p>
    <w:p>
      <w:pPr>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仿宋_GB2312" w:eastAsia="仿宋_GB2312"/>
          <w:sz w:val="32"/>
          <w:szCs w:val="32"/>
        </w:rPr>
      </w:pPr>
      <w:r>
        <w:rPr>
          <w:rFonts w:hint="eastAsia" w:ascii="仿宋_GB2312" w:eastAsia="仿宋_GB2312"/>
          <w:sz w:val="32"/>
          <w:szCs w:val="32"/>
        </w:rPr>
        <w:t>我部门本年度无国有资本经营预算财政拨款收入、支出及结转和结余，国有资本经营预算财政拨款收入支出决算表为空表。</w:t>
      </w:r>
    </w:p>
    <w:p>
      <w:pPr>
        <w:ind w:firstLine="640" w:firstLineChars="200"/>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pPr>
        <w:ind w:firstLine="640" w:firstLineChars="200"/>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pPr>
        <w:ind w:firstLine="640" w:firstLineChars="200"/>
        <w:rPr>
          <w:rFonts w:eastAsia="仿宋_GB2312"/>
          <w:sz w:val="32"/>
          <w:szCs w:val="32"/>
          <w:lang w:val="zh-CN"/>
        </w:rPr>
      </w:pPr>
      <w:bookmarkStart w:id="24" w:name="_Toc26704"/>
      <w:bookmarkStart w:id="25" w:name="_Toc227"/>
      <w:r>
        <w:rPr>
          <w:rFonts w:hint="eastAsia" w:ascii="仿宋_GB2312" w:eastAsia="仿宋_GB2312"/>
          <w:sz w:val="32"/>
          <w:szCs w:val="32"/>
          <w:lang w:val="zh-CN"/>
        </w:rPr>
        <w:t>2023年度</w:t>
      </w:r>
      <w:r>
        <w:rPr>
          <w:rFonts w:hint="eastAsia" w:ascii="仿宋_GB2312" w:eastAsia="仿宋_GB2312"/>
          <w:sz w:val="32"/>
          <w:szCs w:val="32"/>
        </w:rPr>
        <w:t>裕民县发展和改革委员会（行政单位和参照公务员法管理事业单位）机关运行经费支出19.40万元，比上年增加0.84万元，增长4.53%,主要原因是：本年新调入公务员一人，新招录事业编一人，机关运行经费有所增加。</w:t>
      </w:r>
    </w:p>
    <w:p>
      <w:pPr>
        <w:ind w:firstLine="640" w:firstLineChars="200"/>
        <w:outlineLvl w:val="2"/>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rPr>
          <w:rFonts w:ascii="仿宋_GB2312" w:eastAsia="仿宋_GB2312"/>
          <w:sz w:val="32"/>
          <w:szCs w:val="32"/>
          <w:lang w:val="zh-CN"/>
        </w:rPr>
      </w:pPr>
      <w:r>
        <w:rPr>
          <w:rFonts w:hint="eastAsia" w:ascii="仿宋_GB2312" w:eastAsia="仿宋_GB2312"/>
          <w:sz w:val="32"/>
          <w:szCs w:val="32"/>
          <w:lang w:val="zh-CN"/>
        </w:rPr>
        <w:t>2023年度政府采购支出总额4.57万元，其中：政府采购货物支出2.47万元、政府采购工程支出0.00万元、政府采购服务支出2.10万元。</w:t>
      </w:r>
    </w:p>
    <w:p>
      <w:pPr>
        <w:ind w:firstLine="640" w:firstLineChars="200"/>
        <w:rPr>
          <w:rFonts w:ascii="仿宋_GB2312" w:eastAsia="仿宋_GB2312"/>
          <w:sz w:val="32"/>
          <w:szCs w:val="32"/>
        </w:rPr>
      </w:pPr>
      <w:r>
        <w:rPr>
          <w:rFonts w:hint="eastAsia" w:ascii="仿宋_GB2312" w:eastAsia="仿宋_GB2312"/>
          <w:sz w:val="32"/>
          <w:szCs w:val="32"/>
          <w:lang w:val="zh-CN"/>
        </w:rPr>
        <w:t>授予中小企业合同金额4.57万元，占政府采购支出总额的100.00</w:t>
      </w:r>
      <w:r>
        <w:rPr>
          <w:rFonts w:ascii="仿宋_GB2312" w:eastAsia="仿宋_GB2312"/>
          <w:sz w:val="32"/>
          <w:szCs w:val="32"/>
          <w:lang w:val="zh-CN"/>
        </w:rPr>
        <w:t>%</w:t>
      </w:r>
      <w:r>
        <w:rPr>
          <w:rFonts w:hint="eastAsia" w:ascii="仿宋_GB2312" w:eastAsia="仿宋_GB2312"/>
          <w:sz w:val="32"/>
          <w:szCs w:val="32"/>
          <w:lang w:val="zh-CN"/>
        </w:rPr>
        <w:t>，其中：授予小微企业合同金额4.57万元，占政府采购支出总额的100.00</w:t>
      </w:r>
      <w:r>
        <w:rPr>
          <w:rFonts w:ascii="仿宋_GB2312" w:eastAsia="仿宋_GB2312"/>
          <w:sz w:val="32"/>
          <w:szCs w:val="32"/>
          <w:lang w:val="zh-CN"/>
        </w:rPr>
        <w:t>%</w:t>
      </w:r>
      <w:r>
        <w:rPr>
          <w:rFonts w:hint="eastAsia" w:ascii="仿宋_GB2312" w:eastAsia="仿宋_GB2312"/>
          <w:sz w:val="32"/>
          <w:szCs w:val="32"/>
        </w:rPr>
        <w:t>。</w:t>
      </w:r>
    </w:p>
    <w:p>
      <w:pPr>
        <w:ind w:firstLine="640" w:firstLineChars="200"/>
        <w:outlineLvl w:val="2"/>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pPr>
        <w:ind w:firstLine="640" w:firstLineChars="200"/>
        <w:rPr>
          <w:rFonts w:ascii="仿宋_GB2312" w:eastAsia="仿宋_GB2312"/>
          <w:sz w:val="32"/>
          <w:szCs w:val="32"/>
          <w:lang w:val="zh-CN"/>
        </w:rPr>
      </w:pPr>
      <w:r>
        <w:rPr>
          <w:rFonts w:hint="eastAsia" w:ascii="仿宋_GB2312" w:eastAsia="仿宋_GB2312"/>
          <w:sz w:val="32"/>
          <w:szCs w:val="32"/>
        </w:rPr>
        <w:t>截至2023</w:t>
      </w:r>
      <w:r>
        <w:rPr>
          <w:rFonts w:hint="eastAsia" w:ascii="仿宋_GB2312" w:eastAsia="仿宋_GB2312"/>
          <w:sz w:val="32"/>
          <w:szCs w:val="32"/>
          <w:lang w:val="zh-CN"/>
        </w:rPr>
        <w:t>年</w:t>
      </w:r>
      <w:r>
        <w:rPr>
          <w:rFonts w:hint="eastAsia" w:ascii="仿宋_GB2312" w:eastAsia="仿宋_GB2312"/>
          <w:sz w:val="32"/>
          <w:szCs w:val="32"/>
        </w:rPr>
        <w:t>12月31日</w:t>
      </w:r>
      <w:r>
        <w:rPr>
          <w:rFonts w:hint="eastAsia" w:ascii="仿宋_GB2312" w:eastAsia="仿宋_GB2312"/>
          <w:sz w:val="32"/>
          <w:szCs w:val="32"/>
          <w:lang w:val="zh-CN"/>
        </w:rPr>
        <w:t>，</w:t>
      </w:r>
      <w:r>
        <w:rPr>
          <w:rFonts w:hint="eastAsia" w:ascii="仿宋_GB2312" w:eastAsia="仿宋_GB2312"/>
          <w:sz w:val="32"/>
          <w:szCs w:val="32"/>
        </w:rPr>
        <w:t>固定资产原值</w:t>
      </w:r>
      <w:r>
        <w:rPr>
          <w:rFonts w:hint="eastAsia" w:ascii="仿宋_GB2312" w:eastAsia="仿宋_GB2312"/>
          <w:sz w:val="32"/>
          <w:szCs w:val="32"/>
          <w:lang w:val="zh-CN"/>
        </w:rPr>
        <w:t>184.25</w:t>
      </w:r>
      <w:r>
        <w:rPr>
          <w:rFonts w:hint="eastAsia" w:ascii="仿宋_GB2312" w:eastAsia="仿宋_GB2312"/>
          <w:sz w:val="32"/>
          <w:szCs w:val="32"/>
        </w:rPr>
        <w:t>万元，房</w:t>
      </w:r>
      <w:r>
        <w:rPr>
          <w:rFonts w:hint="eastAsia" w:ascii="仿宋_GB2312" w:eastAsia="仿宋_GB2312"/>
          <w:sz w:val="32"/>
          <w:szCs w:val="32"/>
          <w:lang w:val="zh-CN"/>
        </w:rPr>
        <w:t>屋0.0平方米，价值0.00万元。车辆2辆，价值44.01万元，其中：副部（省）级及以上领导用车0辆、主要</w:t>
      </w:r>
      <w:r>
        <w:rPr>
          <w:rFonts w:hint="eastAsia" w:ascii="仿宋_GB2312" w:eastAsia="仿宋_GB2312"/>
          <w:sz w:val="32"/>
          <w:szCs w:val="32"/>
        </w:rPr>
        <w:t>负责人</w:t>
      </w:r>
      <w:r>
        <w:rPr>
          <w:rFonts w:hint="eastAsia" w:ascii="仿宋_GB2312" w:eastAsia="仿宋_GB2312"/>
          <w:sz w:val="32"/>
          <w:szCs w:val="32"/>
          <w:lang w:val="zh-CN"/>
        </w:rPr>
        <w:t>用车0辆、机要通信用车0辆、应急保障用车0辆、执法执勤用车0辆、特种专业技术用车0辆、离退休干部</w:t>
      </w:r>
      <w:r>
        <w:rPr>
          <w:rFonts w:hint="eastAsia" w:ascii="仿宋_GB2312" w:eastAsia="仿宋_GB2312"/>
          <w:sz w:val="32"/>
          <w:szCs w:val="32"/>
        </w:rPr>
        <w:t>服务</w:t>
      </w:r>
      <w:r>
        <w:rPr>
          <w:rFonts w:hint="eastAsia" w:ascii="仿宋_GB2312" w:eastAsia="仿宋_GB2312"/>
          <w:sz w:val="32"/>
          <w:szCs w:val="32"/>
          <w:lang w:val="zh-CN"/>
        </w:rPr>
        <w:t>用车0辆、其他用车2辆，其他用车主要是：</w:t>
      </w:r>
      <w:r>
        <w:rPr>
          <w:rFonts w:hint="eastAsia" w:ascii="仿宋_GB2312" w:eastAsia="仿宋_GB2312"/>
          <w:sz w:val="32"/>
          <w:szCs w:val="32"/>
        </w:rPr>
        <w:t>业务用车</w:t>
      </w:r>
      <w:r>
        <w:rPr>
          <w:rFonts w:hint="eastAsia" w:ascii="仿宋_GB2312" w:eastAsia="仿宋_GB2312"/>
          <w:sz w:val="32"/>
          <w:szCs w:val="32"/>
          <w:lang w:val="zh-CN"/>
        </w:rPr>
        <w:t>；单价100万元（含）以上设备（不含车辆）0</w:t>
      </w:r>
      <w:r>
        <w:rPr>
          <w:rFonts w:hint="eastAsia" w:ascii="仿宋_GB2312" w:eastAsia="仿宋_GB2312"/>
          <w:sz w:val="32"/>
          <w:szCs w:val="32"/>
        </w:rPr>
        <w:t>台</w:t>
      </w:r>
      <w:r>
        <w:rPr>
          <w:rFonts w:hint="eastAsia" w:ascii="仿宋_GB2312" w:eastAsia="仿宋_GB2312"/>
          <w:sz w:val="32"/>
          <w:szCs w:val="32"/>
          <w:lang w:val="zh-CN"/>
        </w:rPr>
        <w:t>。</w:t>
      </w:r>
    </w:p>
    <w:p>
      <w:pPr>
        <w:ind w:firstLine="640" w:firstLineChars="200"/>
        <w:outlineLvl w:val="1"/>
        <w:rPr>
          <w:rFonts w:hint="eastAsia" w:ascii="黑体" w:hAnsi="黑体" w:eastAsia="黑体" w:cs="宋体"/>
          <w:bCs/>
          <w:kern w:val="0"/>
          <w:sz w:val="32"/>
          <w:szCs w:val="32"/>
          <w:highlight w:val="none"/>
        </w:rPr>
      </w:pPr>
      <w:bookmarkStart w:id="28" w:name="_Toc11283"/>
      <w:bookmarkStart w:id="29" w:name="_Toc435"/>
      <w:r>
        <w:rPr>
          <w:rFonts w:hint="eastAsia" w:ascii="黑体" w:hAnsi="黑体" w:eastAsia="黑体" w:cs="宋体"/>
          <w:bCs/>
          <w:kern w:val="0"/>
          <w:sz w:val="32"/>
          <w:szCs w:val="32"/>
          <w:highlight w:val="none"/>
        </w:rPr>
        <w:t>十一、预算绩效的情况说明</w:t>
      </w:r>
      <w:bookmarkEnd w:id="28"/>
      <w:bookmarkEnd w:id="29"/>
    </w:p>
    <w:p>
      <w:pPr>
        <w:ind w:firstLine="640" w:firstLineChars="200"/>
        <w:rPr>
          <w:rFonts w:ascii="仿宋_GB2312" w:eastAsia="仿宋_GB2312"/>
          <w:sz w:val="32"/>
          <w:szCs w:val="32"/>
          <w:lang w:eastAsia="zh-Hans"/>
        </w:rPr>
      </w:pPr>
      <w:r>
        <w:rPr>
          <w:rFonts w:hint="eastAsia" w:ascii="仿宋_GB2312" w:eastAsia="仿宋_GB2312"/>
          <w:sz w:val="32"/>
          <w:szCs w:val="32"/>
        </w:rPr>
        <w:t>根据预算绩效管理要求，我部门2023年度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预算总额627.08万元，实际执行总额551.70万元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预算绩效评价项目7个，全年预算</w:t>
      </w:r>
      <w:r>
        <w:rPr>
          <w:rFonts w:hint="eastAsia" w:ascii="仿宋_GB2312" w:eastAsia="仿宋_GB2312"/>
          <w:sz w:val="32"/>
          <w:szCs w:val="32"/>
          <w:highlight w:val="none"/>
        </w:rPr>
        <w:t>数</w:t>
      </w:r>
      <w:r>
        <w:rPr>
          <w:rFonts w:hint="eastAsia" w:ascii="仿宋_GB2312" w:eastAsia="仿宋_GB2312"/>
          <w:sz w:val="32"/>
          <w:szCs w:val="32"/>
          <w:highlight w:val="none"/>
          <w:lang w:val="en-US" w:eastAsia="zh-CN"/>
        </w:rPr>
        <w:t>184.90</w:t>
      </w:r>
      <w:r>
        <w:rPr>
          <w:rFonts w:hint="eastAsia" w:ascii="仿宋_GB2312" w:eastAsia="仿宋_GB2312"/>
          <w:sz w:val="32"/>
          <w:szCs w:val="32"/>
          <w:highlight w:val="none"/>
        </w:rPr>
        <w:t>万元，全年执行数</w:t>
      </w:r>
      <w:r>
        <w:rPr>
          <w:rFonts w:hint="eastAsia" w:ascii="仿宋_GB2312" w:eastAsia="仿宋_GB2312"/>
          <w:sz w:val="32"/>
          <w:szCs w:val="32"/>
          <w:highlight w:val="none"/>
          <w:lang w:val="en-US" w:eastAsia="zh-CN"/>
        </w:rPr>
        <w:t>134.90</w:t>
      </w:r>
      <w:r>
        <w:rPr>
          <w:rFonts w:hint="eastAsia" w:ascii="仿宋_GB2312" w:eastAsia="仿宋_GB2312"/>
          <w:sz w:val="32"/>
          <w:szCs w:val="32"/>
        </w:rPr>
        <w:t>万元，其中</w:t>
      </w:r>
      <w:r>
        <w:rPr>
          <w:rFonts w:hint="eastAsia" w:ascii="仿宋_GB2312" w:eastAsia="仿宋_GB2312"/>
          <w:sz w:val="32"/>
          <w:szCs w:val="32"/>
          <w:lang w:val="en-US" w:eastAsia="zh-CN"/>
        </w:rPr>
        <w:t>SM</w:t>
      </w:r>
      <w:r>
        <w:rPr>
          <w:rFonts w:hint="eastAsia" w:ascii="仿宋_GB2312" w:eastAsia="仿宋_GB2312"/>
          <w:sz w:val="32"/>
          <w:szCs w:val="32"/>
        </w:rPr>
        <w:t>项目1个，涉及金额：年初预算数5.00万元，全年执行数4.88万元，不予公开绩效目标评价表。预算绩效管理取得的成效：一是强化绩效目标管理。编制预算时贯彻落实党中央、国务院的决策，自治区党委、自治区人民政府的安排部署和地委、行署、县委、县政府的工作要求，分解细化各项工作任务，结合实际，全面设置部门和单位整体绩效目标。二是做好绩效运行监控，发现问题及时纠正，确保绩效目标如期保质保量实现，同时按预算绩效管理要求，切实提高预算执行效率。三是开展绩效评价和结果应用。对预算执行情况开展绩效评价。对预算执行情况以及政策实施效果开展绩效自评，评价结果报送本级财政部门。发现的问题及原因：一是年初公用经费不足。如：因在编人员较少，无法保障硬性支出，有时年底会出现交不起电费的情况，由职工垫交，次年报账；二是因工资调整、人员变动等导致的人员经费预算不够精准。下一步改进措施：一是加强学习，提高思想认识。组织单位财务人员认真学习《预算法》等相关法规、制度，提高单位领导对全面预算管理的重视程度，增强财务人员的预算意识。二是规范财务运行，加强预算支出管理。严格遵循“先有预算、后有支出”的原则，在资金支付管理方面，严格按照规定程序向财政部门申请用款，在财政部门批复的支出预算资金范围内申请使用一般预算支出经费。建立健全并认真执行各项资金使用管理制度，建立内部控制机制，资金使用严格履行审批程序，确保资金支出合法、真实。严格落实会计核算、报销审批制度，加强对资金使用环节的监督。具体项目自评情况附项目支出绩效自评表。</w:t>
      </w:r>
    </w:p>
    <w:p>
      <w:pPr>
        <w:ind w:firstLine="640" w:firstLineChars="200"/>
        <w:outlineLvl w:val="1"/>
        <w:rPr>
          <w:rFonts w:hint="eastAsia" w:ascii="黑体" w:hAnsi="黑体" w:eastAsia="黑体" w:cs="宋体"/>
          <w:bCs/>
          <w:kern w:val="0"/>
          <w:sz w:val="32"/>
          <w:szCs w:val="32"/>
          <w:highlight w:val="none"/>
        </w:rPr>
      </w:pPr>
      <w:r>
        <w:rPr>
          <w:rFonts w:hint="eastAsia" w:ascii="黑体" w:hAnsi="黑体" w:eastAsia="黑体" w:cs="宋体"/>
          <w:bCs/>
          <w:kern w:val="0"/>
          <w:sz w:val="32"/>
          <w:szCs w:val="32"/>
          <w:highlight w:val="none"/>
        </w:rPr>
        <w:t>十二、其他需说明的事项</w:t>
      </w:r>
    </w:p>
    <w:p>
      <w:pPr>
        <w:ind w:firstLine="640" w:firstLineChars="200"/>
        <w:rPr>
          <w:rFonts w:ascii="仿宋_GB2312"/>
          <w:sz w:val="32"/>
          <w:szCs w:val="32"/>
        </w:rPr>
      </w:pPr>
      <w:r>
        <w:rPr>
          <w:rFonts w:hint="eastAsia" w:ascii="仿宋_GB2312" w:eastAsia="仿宋_GB2312"/>
          <w:sz w:val="32"/>
          <w:szCs w:val="32"/>
          <w:lang w:val="en-US" w:eastAsia="zh-CN"/>
        </w:rPr>
        <w:t>SM项目1个，涉及金额：年初预算数5.00万元，全年执行数4.88万元，</w:t>
      </w:r>
      <w:r>
        <w:rPr>
          <w:rFonts w:hint="eastAsia" w:ascii="仿宋_GB2312" w:eastAsia="仿宋_GB2312"/>
          <w:sz w:val="32"/>
          <w:szCs w:val="32"/>
        </w:rPr>
        <w:t>不予公开绩效目标评价表。</w:t>
      </w:r>
    </w:p>
    <w:p>
      <w:pPr>
        <w:jc w:val="center"/>
        <w:outlineLvl w:val="0"/>
        <w:rPr>
          <w:rFonts w:hint="eastAsia" w:ascii="黑体" w:hAnsi="黑体" w:eastAsia="黑体"/>
          <w:sz w:val="32"/>
          <w:szCs w:val="32"/>
        </w:rPr>
      </w:pPr>
      <w:bookmarkStart w:id="30" w:name="_Toc24143"/>
      <w:bookmarkStart w:id="31" w:name="_Toc3250"/>
      <w:bookmarkStart w:id="48" w:name="_GoBack"/>
      <w:bookmarkEnd w:id="48"/>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hint="eastAsia" w:ascii="黑体" w:hAnsi="黑体" w:eastAsia="仿宋_GB2312" w:cs="宋体"/>
          <w:bCs/>
          <w:kern w:val="0"/>
          <w:sz w:val="32"/>
          <w:szCs w:val="32"/>
        </w:rPr>
      </w:pPr>
      <w:bookmarkStart w:id="32" w:name="_Toc2183"/>
      <w:bookmarkStart w:id="33" w:name="_Toc6062"/>
      <w:r>
        <w:rPr>
          <w:rFonts w:hint="eastAsia" w:ascii="黑体" w:hAnsi="黑体" w:eastAsia="仿宋_GB2312" w:cs="宋体"/>
          <w:bCs/>
          <w:kern w:val="0"/>
          <w:sz w:val="32"/>
          <w:szCs w:val="32"/>
        </w:rPr>
        <w:t>一、《收入支出决算总表》</w:t>
      </w:r>
      <w:bookmarkEnd w:id="32"/>
      <w:bookmarkEnd w:id="33"/>
    </w:p>
    <w:p>
      <w:pPr>
        <w:ind w:firstLine="640" w:firstLineChars="200"/>
        <w:outlineLvl w:val="1"/>
        <w:rPr>
          <w:rFonts w:hint="eastAsia" w:ascii="黑体" w:hAnsi="黑体" w:eastAsia="仿宋_GB2312" w:cs="宋体"/>
          <w:bCs/>
          <w:kern w:val="0"/>
          <w:sz w:val="32"/>
          <w:szCs w:val="32"/>
        </w:rPr>
      </w:pPr>
      <w:bookmarkStart w:id="34" w:name="_Toc30364"/>
      <w:bookmarkStart w:id="35" w:name="_Toc24532"/>
      <w:r>
        <w:rPr>
          <w:rFonts w:hint="eastAsia" w:ascii="黑体" w:hAnsi="黑体" w:eastAsia="仿宋_GB2312" w:cs="宋体"/>
          <w:bCs/>
          <w:kern w:val="0"/>
          <w:sz w:val="32"/>
          <w:szCs w:val="32"/>
        </w:rPr>
        <w:t>二、《收入决算表》</w:t>
      </w:r>
      <w:bookmarkEnd w:id="34"/>
      <w:bookmarkEnd w:id="35"/>
    </w:p>
    <w:p>
      <w:pPr>
        <w:ind w:firstLine="640" w:firstLineChars="200"/>
        <w:outlineLvl w:val="1"/>
        <w:rPr>
          <w:rFonts w:hint="eastAsia" w:ascii="黑体" w:hAnsi="黑体" w:eastAsia="仿宋_GB2312" w:cs="宋体"/>
          <w:bCs/>
          <w:kern w:val="0"/>
          <w:sz w:val="32"/>
          <w:szCs w:val="32"/>
        </w:rPr>
      </w:pPr>
      <w:bookmarkStart w:id="36" w:name="_Toc21304"/>
      <w:bookmarkStart w:id="37" w:name="_Toc32434"/>
      <w:r>
        <w:rPr>
          <w:rFonts w:hint="eastAsia" w:ascii="黑体" w:hAnsi="黑体" w:eastAsia="仿宋_GB2312" w:cs="宋体"/>
          <w:bCs/>
          <w:kern w:val="0"/>
          <w:sz w:val="32"/>
          <w:szCs w:val="32"/>
        </w:rPr>
        <w:t>三、《支出决算表》</w:t>
      </w:r>
      <w:bookmarkEnd w:id="36"/>
      <w:bookmarkEnd w:id="37"/>
    </w:p>
    <w:p>
      <w:pPr>
        <w:ind w:firstLine="640" w:firstLineChars="200"/>
        <w:outlineLvl w:val="1"/>
        <w:rPr>
          <w:rFonts w:hint="eastAsia" w:ascii="黑体" w:hAnsi="黑体" w:eastAsia="仿宋_GB2312" w:cs="宋体"/>
          <w:bCs/>
          <w:kern w:val="0"/>
          <w:sz w:val="32"/>
          <w:szCs w:val="32"/>
        </w:rPr>
      </w:pPr>
      <w:bookmarkStart w:id="38" w:name="_Toc28786"/>
      <w:bookmarkStart w:id="39" w:name="_Toc14238"/>
      <w:r>
        <w:rPr>
          <w:rFonts w:hint="eastAsia" w:ascii="黑体" w:hAnsi="黑体" w:eastAsia="仿宋_GB2312" w:cs="宋体"/>
          <w:bCs/>
          <w:kern w:val="0"/>
          <w:sz w:val="32"/>
          <w:szCs w:val="32"/>
        </w:rPr>
        <w:t>四、《财政拨款收入支出决算总表》</w:t>
      </w:r>
      <w:bookmarkEnd w:id="38"/>
      <w:bookmarkEnd w:id="39"/>
    </w:p>
    <w:p>
      <w:pPr>
        <w:ind w:firstLine="640" w:firstLineChars="200"/>
        <w:outlineLvl w:val="1"/>
        <w:rPr>
          <w:rFonts w:hint="eastAsia" w:ascii="黑体" w:hAnsi="黑体" w:eastAsia="仿宋_GB2312" w:cs="宋体"/>
          <w:bCs/>
          <w:kern w:val="0"/>
          <w:sz w:val="32"/>
          <w:szCs w:val="32"/>
        </w:rPr>
      </w:pPr>
      <w:bookmarkStart w:id="40" w:name="_Toc14869"/>
      <w:bookmarkStart w:id="41" w:name="_Toc10347"/>
      <w:r>
        <w:rPr>
          <w:rFonts w:hint="eastAsia" w:ascii="黑体" w:hAnsi="黑体" w:eastAsia="仿宋_GB2312" w:cs="宋体"/>
          <w:bCs/>
          <w:kern w:val="0"/>
          <w:sz w:val="32"/>
          <w:szCs w:val="32"/>
        </w:rPr>
        <w:t>五、《一般公共预算财政拨款支出决算表》</w:t>
      </w:r>
      <w:bookmarkEnd w:id="40"/>
      <w:bookmarkEnd w:id="41"/>
    </w:p>
    <w:p>
      <w:pPr>
        <w:ind w:firstLine="640" w:firstLineChars="200"/>
        <w:outlineLvl w:val="1"/>
        <w:rPr>
          <w:rFonts w:hint="eastAsia" w:ascii="黑体" w:hAnsi="黑体" w:eastAsia="仿宋_GB2312" w:cs="宋体"/>
          <w:bCs/>
          <w:kern w:val="0"/>
          <w:sz w:val="32"/>
          <w:szCs w:val="32"/>
        </w:rPr>
      </w:pPr>
      <w:bookmarkStart w:id="42" w:name="_Toc8884"/>
      <w:bookmarkStart w:id="43" w:name="_Toc5626"/>
      <w:r>
        <w:rPr>
          <w:rFonts w:hint="eastAsia" w:ascii="黑体" w:hAnsi="黑体" w:eastAsia="仿宋_GB2312" w:cs="宋体"/>
          <w:bCs/>
          <w:kern w:val="0"/>
          <w:sz w:val="32"/>
          <w:szCs w:val="32"/>
        </w:rPr>
        <w:t>六、《一般公共预算财政拨款基本支出决算表》</w:t>
      </w:r>
      <w:bookmarkEnd w:id="42"/>
      <w:bookmarkEnd w:id="43"/>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32663"/>
      <w:bookmarkStart w:id="45" w:name="_Toc29106"/>
      <w:r>
        <w:rPr>
          <w:rFonts w:hint="eastAsia" w:ascii="黑体" w:hAnsi="黑体" w:eastAsia="仿宋_GB2312" w:cs="宋体"/>
          <w:bCs/>
          <w:kern w:val="0"/>
          <w:sz w:val="32"/>
          <w:szCs w:val="32"/>
        </w:rPr>
        <w:t>《财政拨款“三公”经费支出决算表》</w:t>
      </w:r>
      <w:bookmarkEnd w:id="44"/>
      <w:bookmarkEnd w:id="45"/>
    </w:p>
    <w:p>
      <w:pPr>
        <w:ind w:firstLine="640" w:firstLineChars="200"/>
        <w:outlineLvl w:val="1"/>
        <w:rPr>
          <w:rFonts w:hint="eastAsia" w:ascii="黑体" w:hAnsi="黑体" w:eastAsia="仿宋_GB2312" w:cs="宋体"/>
          <w:bCs/>
          <w:kern w:val="0"/>
          <w:sz w:val="32"/>
          <w:szCs w:val="32"/>
        </w:rPr>
      </w:pPr>
      <w:bookmarkStart w:id="46" w:name="_Toc5453"/>
      <w:bookmarkStart w:id="47" w:name="_Toc7643"/>
      <w:r>
        <w:rPr>
          <w:rFonts w:hint="eastAsia" w:ascii="黑体" w:hAnsi="黑体" w:eastAsia="仿宋_GB2312" w:cs="宋体"/>
          <w:bCs/>
          <w:kern w:val="0"/>
          <w:sz w:val="32"/>
          <w:szCs w:val="32"/>
        </w:rPr>
        <w:t>八、《政府性基金预算财政拨款收入支出决算表》</w:t>
      </w:r>
      <w:bookmarkEnd w:id="46"/>
      <w:bookmarkEnd w:id="47"/>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pPr>
                      <w:pStyle w:val="6"/>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hYjIwYTFkMDUyN2RmOGI2OTNiMWRjYmY5MjBlYTUifQ=="/>
    <w:docVar w:name="KSO_WPS_MARK_KEY" w:val="41ee2a61-2d54-4f93-83be-afdb9a40d732"/>
  </w:docVars>
  <w:rsids>
    <w:rsidRoot w:val="000E18C9"/>
    <w:rsid w:val="000E18C9"/>
    <w:rsid w:val="001F52D5"/>
    <w:rsid w:val="00213C59"/>
    <w:rsid w:val="003210CE"/>
    <w:rsid w:val="004D55A5"/>
    <w:rsid w:val="00B70D59"/>
    <w:rsid w:val="00E45670"/>
    <w:rsid w:val="00F52A8D"/>
    <w:rsid w:val="00FA7C4B"/>
    <w:rsid w:val="019404F8"/>
    <w:rsid w:val="02BD3108"/>
    <w:rsid w:val="02F73D26"/>
    <w:rsid w:val="034D4FEF"/>
    <w:rsid w:val="035D1785"/>
    <w:rsid w:val="039F47CE"/>
    <w:rsid w:val="03E05CE8"/>
    <w:rsid w:val="03F973EE"/>
    <w:rsid w:val="043E5B56"/>
    <w:rsid w:val="04C04386"/>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8E17D4"/>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8C63BF"/>
    <w:rsid w:val="12F7068C"/>
    <w:rsid w:val="14207DC0"/>
    <w:rsid w:val="14B932DA"/>
    <w:rsid w:val="150A66AF"/>
    <w:rsid w:val="154C1139"/>
    <w:rsid w:val="158C5B77"/>
    <w:rsid w:val="160D1149"/>
    <w:rsid w:val="163563C0"/>
    <w:rsid w:val="164315EF"/>
    <w:rsid w:val="16557DFE"/>
    <w:rsid w:val="167268FB"/>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6566F6"/>
    <w:rsid w:val="1DAF458D"/>
    <w:rsid w:val="1E086ACE"/>
    <w:rsid w:val="1E62130A"/>
    <w:rsid w:val="1E97358B"/>
    <w:rsid w:val="1EAA4A5F"/>
    <w:rsid w:val="1EE869A7"/>
    <w:rsid w:val="1F131758"/>
    <w:rsid w:val="1FA15E62"/>
    <w:rsid w:val="1FED69B6"/>
    <w:rsid w:val="2064678E"/>
    <w:rsid w:val="20DC1AB9"/>
    <w:rsid w:val="20DD6197"/>
    <w:rsid w:val="212631E0"/>
    <w:rsid w:val="21A53757"/>
    <w:rsid w:val="221236C6"/>
    <w:rsid w:val="22440B6D"/>
    <w:rsid w:val="226010A6"/>
    <w:rsid w:val="22D7662C"/>
    <w:rsid w:val="23326B7F"/>
    <w:rsid w:val="2380045B"/>
    <w:rsid w:val="23BC04D2"/>
    <w:rsid w:val="23EF1892"/>
    <w:rsid w:val="2483647E"/>
    <w:rsid w:val="24A32D55"/>
    <w:rsid w:val="25292727"/>
    <w:rsid w:val="252E5CA9"/>
    <w:rsid w:val="256F7692"/>
    <w:rsid w:val="25BA2154"/>
    <w:rsid w:val="25C8773F"/>
    <w:rsid w:val="264A7253"/>
    <w:rsid w:val="26867244"/>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7B0BD9"/>
    <w:rsid w:val="3389023A"/>
    <w:rsid w:val="33CB74FA"/>
    <w:rsid w:val="33EB6B01"/>
    <w:rsid w:val="343642F2"/>
    <w:rsid w:val="343F3010"/>
    <w:rsid w:val="345D0A00"/>
    <w:rsid w:val="34713BFD"/>
    <w:rsid w:val="34C13589"/>
    <w:rsid w:val="353369E3"/>
    <w:rsid w:val="357F4075"/>
    <w:rsid w:val="35E00D72"/>
    <w:rsid w:val="364F73B2"/>
    <w:rsid w:val="36965B9D"/>
    <w:rsid w:val="36A954E7"/>
    <w:rsid w:val="36C549FD"/>
    <w:rsid w:val="374A55A2"/>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CF340C"/>
    <w:rsid w:val="3DEB0883"/>
    <w:rsid w:val="3E2527BF"/>
    <w:rsid w:val="3E731662"/>
    <w:rsid w:val="3E8168DD"/>
    <w:rsid w:val="3EA7725F"/>
    <w:rsid w:val="3EB03713"/>
    <w:rsid w:val="3EBF1A11"/>
    <w:rsid w:val="3EC52607"/>
    <w:rsid w:val="3EEC6CEF"/>
    <w:rsid w:val="3EF3006C"/>
    <w:rsid w:val="3F183429"/>
    <w:rsid w:val="3FB77A1D"/>
    <w:rsid w:val="3FDC3674"/>
    <w:rsid w:val="3FED7F8A"/>
    <w:rsid w:val="40094AEF"/>
    <w:rsid w:val="405470BD"/>
    <w:rsid w:val="40794A29"/>
    <w:rsid w:val="40834692"/>
    <w:rsid w:val="41431AD5"/>
    <w:rsid w:val="414B3C0F"/>
    <w:rsid w:val="417C1CE7"/>
    <w:rsid w:val="41900018"/>
    <w:rsid w:val="41944406"/>
    <w:rsid w:val="41C57710"/>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C811C0"/>
    <w:rsid w:val="556A442D"/>
    <w:rsid w:val="55DA564E"/>
    <w:rsid w:val="5604127D"/>
    <w:rsid w:val="56166703"/>
    <w:rsid w:val="56510474"/>
    <w:rsid w:val="56861525"/>
    <w:rsid w:val="56A93273"/>
    <w:rsid w:val="56BD550C"/>
    <w:rsid w:val="56C634AF"/>
    <w:rsid w:val="56E07045"/>
    <w:rsid w:val="56FF28AF"/>
    <w:rsid w:val="57540E7D"/>
    <w:rsid w:val="577B4878"/>
    <w:rsid w:val="57926973"/>
    <w:rsid w:val="57FF3B17"/>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C24E2F"/>
    <w:rsid w:val="5DD92690"/>
    <w:rsid w:val="5DDB1CFD"/>
    <w:rsid w:val="5E0C7F8C"/>
    <w:rsid w:val="5E7E6D93"/>
    <w:rsid w:val="5ED44800"/>
    <w:rsid w:val="5F350BDE"/>
    <w:rsid w:val="5F61632C"/>
    <w:rsid w:val="5FA17648"/>
    <w:rsid w:val="5FE705CB"/>
    <w:rsid w:val="603D5080"/>
    <w:rsid w:val="60D0261B"/>
    <w:rsid w:val="60EA5322"/>
    <w:rsid w:val="618E3791"/>
    <w:rsid w:val="61947DCA"/>
    <w:rsid w:val="61A46A97"/>
    <w:rsid w:val="61D1382F"/>
    <w:rsid w:val="61F114A2"/>
    <w:rsid w:val="62512BB4"/>
    <w:rsid w:val="625D7D1A"/>
    <w:rsid w:val="62DD7D21"/>
    <w:rsid w:val="633F3191"/>
    <w:rsid w:val="637D586B"/>
    <w:rsid w:val="63A5560B"/>
    <w:rsid w:val="63E9091F"/>
    <w:rsid w:val="64322AF9"/>
    <w:rsid w:val="64D6010D"/>
    <w:rsid w:val="64D82665"/>
    <w:rsid w:val="64E47C96"/>
    <w:rsid w:val="651E5741"/>
    <w:rsid w:val="658A4877"/>
    <w:rsid w:val="65A00902"/>
    <w:rsid w:val="65AC6EDD"/>
    <w:rsid w:val="65D97752"/>
    <w:rsid w:val="65FF1F33"/>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D798C"/>
    <w:rsid w:val="69D005C0"/>
    <w:rsid w:val="69D80B96"/>
    <w:rsid w:val="6A9958F1"/>
    <w:rsid w:val="6B68175F"/>
    <w:rsid w:val="6BFD799F"/>
    <w:rsid w:val="6C4A2E5A"/>
    <w:rsid w:val="6C8138D0"/>
    <w:rsid w:val="6CEF0725"/>
    <w:rsid w:val="6D4B2604"/>
    <w:rsid w:val="6D8030E4"/>
    <w:rsid w:val="6E0E35C4"/>
    <w:rsid w:val="6E0F7A08"/>
    <w:rsid w:val="6E3947F5"/>
    <w:rsid w:val="6E9C74ED"/>
    <w:rsid w:val="6EF72976"/>
    <w:rsid w:val="6F03416E"/>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532667"/>
    <w:rsid w:val="7C976D69"/>
    <w:rsid w:val="7CD752DA"/>
    <w:rsid w:val="7CDE40AB"/>
    <w:rsid w:val="7CF057E2"/>
    <w:rsid w:val="7D1548B5"/>
    <w:rsid w:val="7DF84014"/>
    <w:rsid w:val="7E207949"/>
    <w:rsid w:val="7E5C0A47"/>
    <w:rsid w:val="7E670C75"/>
    <w:rsid w:val="7EE24272"/>
    <w:rsid w:val="7EEA6053"/>
    <w:rsid w:val="7F287C7F"/>
    <w:rsid w:val="7F487C04"/>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0"/>
    <w:pPr>
      <w:keepNext/>
      <w:keepLines/>
      <w:spacing w:before="260" w:after="260" w:line="416" w:lineRule="auto"/>
      <w:outlineLvl w:val="2"/>
    </w:pPr>
    <w:rPr>
      <w:b/>
      <w:bCs/>
      <w:sz w:val="32"/>
      <w:szCs w:val="32"/>
    </w:rPr>
  </w:style>
  <w:style w:type="character" w:default="1" w:styleId="12">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customStyle="1" w:styleId="2">
    <w:name w:val="Char"/>
    <w:basedOn w:val="1"/>
    <w:qFormat/>
    <w:uiPriority w:val="99"/>
    <w:pPr>
      <w:widowControl/>
      <w:spacing w:after="160" w:line="240" w:lineRule="exact"/>
      <w:jc w:val="left"/>
    </w:pPr>
    <w:rPr>
      <w:rFonts w:ascii="Verdana" w:hAnsi="Verdana" w:cs="Verdana"/>
      <w:kern w:val="0"/>
      <w:sz w:val="24"/>
      <w:lang w:eastAsia="en-US"/>
    </w:rPr>
  </w:style>
  <w:style w:type="paragraph" w:styleId="4">
    <w:name w:val="annotation text"/>
    <w:basedOn w:val="1"/>
    <w:qFormat/>
    <w:uiPriority w:val="0"/>
    <w:pPr>
      <w:jc w:val="left"/>
    </w:pPr>
  </w:style>
  <w:style w:type="paragraph" w:styleId="5">
    <w:name w:val="toc 3"/>
    <w:basedOn w:val="1"/>
    <w:next w:val="1"/>
    <w:qFormat/>
    <w:uiPriority w:val="0"/>
    <w:pPr>
      <w:ind w:left="840" w:leftChars="4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oc 1"/>
    <w:basedOn w:val="1"/>
    <w:next w:val="1"/>
    <w:qFormat/>
    <w:uiPriority w:val="0"/>
  </w:style>
  <w:style w:type="paragraph" w:styleId="9">
    <w:name w:val="toc 2"/>
    <w:basedOn w:val="1"/>
    <w:next w:val="1"/>
    <w:qFormat/>
    <w:uiPriority w:val="0"/>
    <w:pPr>
      <w:ind w:left="420" w:leftChars="200"/>
    </w:pPr>
  </w:style>
  <w:style w:type="paragraph" w:styleId="10">
    <w:name w:val="Normal (Web)"/>
    <w:basedOn w:val="1"/>
    <w:qFormat/>
    <w:uiPriority w:val="0"/>
    <w:pPr>
      <w:spacing w:before="100" w:beforeAutospacing="1" w:after="100" w:afterAutospacing="1"/>
      <w:jc w:val="left"/>
    </w:pPr>
    <w:rPr>
      <w:kern w:val="0"/>
      <w:sz w:val="24"/>
    </w:rPr>
  </w:style>
  <w:style w:type="character" w:styleId="13">
    <w:name w:val="Strong"/>
    <w:basedOn w:val="12"/>
    <w:qFormat/>
    <w:uiPriority w:val="0"/>
    <w:rPr>
      <w:b/>
    </w:rPr>
  </w:style>
  <w:style w:type="paragraph" w:customStyle="1" w:styleId="14">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5">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6">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1440</Words>
  <Characters>8210</Characters>
  <Lines>68</Lines>
  <Paragraphs>19</Paragraphs>
  <TotalTime>4</TotalTime>
  <ScaleCrop>false</ScaleCrop>
  <LinksUpToDate>false</LinksUpToDate>
  <CharactersWithSpaces>9631</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lenovo</cp:lastModifiedBy>
  <cp:lastPrinted>2024-08-19T03:03:00Z</cp:lastPrinted>
  <dcterms:modified xsi:type="dcterms:W3CDTF">2025-04-08T05:21:14Z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F2C57CF7D2D24091AB7037148E1F7C0C</vt:lpwstr>
  </property>
</Properties>
</file>