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裕民县阿勒腾也木勒乡中心校</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b/>
          <w:bCs/>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塔城地区裕民县阿勒腾也木勒乡中心校属于全额事业拨款单位，隶属裕民县教科局统一负责管理，在教科局的领导下，教书育人，全面贯彻落实科学发展观，促进教育事业的蓬勃发展。实施义务教育，促进基础教育发展。</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一、全面负责学校工作，认真贯彻落实党和国家的方针、政策，正确执行上级主管部门的决议和指示，全面实施素质教育，培养德、智、体、美等方面全面发展的社会主义事业的建设者和接班人。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二、根据教育规律、社会要求和学校实际，组织制定学校发展的远景规划、近期目标、学年和学期各项工作计划以及各项工作指标并组织实施。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三、加强学校的科学化管理，制定和健全各项规章制度，规范办学行为，培养良好校风，逐步实现管理决策的科学化，管理方法的定量化和管理手段的现代化。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四、负责教师队伍建设工作，决定校内教职工的工作安排，组织对教职工进行考核，实施奖惩、制定教师队伍建设规划，不断提高他们的政治素质、文化业务水平和科研水平。</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五、领导和组织学校的思想政治工作，把德育工作放在首位。研究思想政治工作的要求、内容、方法和规律，不断加强对学生的思想政治、法制纪律和道德品质教育以及做好管理工作。教育全体教职工做到教书育人、管理育人、服务育人，搞好学校、社会、家庭三结合教育。</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六、负责领导和组织学校的教学工作，坚持以教学为中心，保证教学计划的贯彻执行。要有计划地参加教研活动，有目的地深入教学第一线，了解教师教学和学生学习情况要大力推进教学改革，加强科研工作的组织领导。有计划组织质量检查、分析，提出提高教学质量的方法。</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七、组织制定和实施校舍建设和校园建设规划，加强对财务工作的领导，正确使用各项经费，不断改善办学条件，强化安全工作管理，创造良好的育人环境。改善教职工的福利生活，提高福利待遇，努力解除教职工的后顾之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八、加强与党支部的合作，主动接受学校党组织的监督搞好领导班子的团结和协作。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九、依靠群众办学，实行民主管理和民主监督。负责定期向教代会报告工作，充分发挥教代会参与学校民主管理和民主监督的作用，支持其在职权范围内所做的有关决定。督促和检查教代会提案的办理与落实。</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裕民县阿勒腾也木勒乡中心校</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233</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152</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81</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11个处室，分别是：书记校长办公室、办公室、德育处、后勤处、政教处、党建室、档案室、食堂管理办公室、宿管处、少先大队、共青团</w:t>
      </w:r>
      <w:r>
        <w:rPr>
          <w:rFonts w:hint="eastAsia" w:ascii="仿宋_GB2312" w:hAnsi="宋体" w:eastAsia="仿宋_GB2312" w:cs="宋体"/>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2,838.97万元，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2,838.79万元，使用非财政拨款结余0.00万元，年初结转和结余0.18万元。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2,838.97万元，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2,830.10万元，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0.00万元，年末结转和结余8.87万元。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val="zh-CN" w:eastAsia="zh-CN"/>
        </w:rPr>
        <w:t>增加237.62万元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增长9.13%</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本年度在职人员调增，地方性津贴补贴较上年有所增加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pacing w:val="0"/>
          <w:sz w:val="32"/>
          <w:szCs w:val="32"/>
          <w:highlight w:val="none"/>
          <w:lang w:val="en-US" w:eastAsia="zh-CN"/>
        </w:rPr>
        <w:t>本年收入2,838.79万元，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2,798.99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98.60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39.80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1.40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仿宋_GB2312" w:eastAsia="仿宋_GB2312"/>
          <w:b/>
          <w:bCs/>
          <w:color w:val="auto"/>
          <w:spacing w:val="0"/>
          <w:sz w:val="32"/>
          <w:szCs w:val="32"/>
          <w:highlight w:val="none"/>
          <w:lang w:val="zh-CN" w:eastAsia="zh-CN"/>
        </w:rPr>
        <w:t>本年支出2,830.10万元，</w:t>
      </w:r>
      <w:r>
        <w:rPr>
          <w:rFonts w:hint="eastAsia" w:ascii="Times New Roman" w:hAnsi="Times New Roman" w:eastAsia="仿宋_GB2312" w:cs="仿宋_GB2312"/>
          <w:color w:val="auto"/>
          <w:sz w:val="32"/>
          <w:szCs w:val="32"/>
          <w:highlight w:val="none"/>
          <w:lang w:val="zh-CN" w:eastAsia="zh-CN"/>
        </w:rPr>
        <w:t>其中：基本支出</w:t>
      </w:r>
      <w:r>
        <w:rPr>
          <w:rFonts w:hint="eastAsia" w:ascii="仿宋_GB2312" w:eastAsia="仿宋_GB2312"/>
          <w:color w:val="auto"/>
          <w:sz w:val="32"/>
          <w:szCs w:val="32"/>
          <w:highlight w:val="none"/>
          <w:lang w:val="zh-CN" w:eastAsia="zh-CN"/>
        </w:rPr>
        <w:t>2,588.82</w:t>
      </w:r>
      <w:r>
        <w:rPr>
          <w:rFonts w:hint="eastAsia" w:ascii="Times New Roman" w:hAnsi="Times New Roman" w:eastAsia="仿宋_GB2312" w:cs="仿宋_GB2312"/>
          <w:color w:val="auto"/>
          <w:sz w:val="32"/>
          <w:szCs w:val="32"/>
          <w:highlight w:val="none"/>
          <w:lang w:val="zh-CN" w:eastAsia="zh-CN"/>
        </w:rPr>
        <w:t>万元，占</w:t>
      </w:r>
      <w:r>
        <w:rPr>
          <w:rFonts w:hint="eastAsia" w:ascii="仿宋_GB2312" w:eastAsia="仿宋_GB2312"/>
          <w:color w:val="auto"/>
          <w:sz w:val="32"/>
          <w:szCs w:val="32"/>
          <w:highlight w:val="none"/>
          <w:lang w:val="zh-CN" w:eastAsia="zh-CN"/>
        </w:rPr>
        <w:t>91.47</w:t>
      </w:r>
      <w:r>
        <w:rPr>
          <w:rFonts w:hint="eastAsia" w:ascii="Times New Roman" w:hAnsi="Times New Roman" w:eastAsia="仿宋_GB2312" w:cs="仿宋_GB2312"/>
          <w:color w:val="auto"/>
          <w:sz w:val="32"/>
          <w:szCs w:val="32"/>
          <w:highlight w:val="none"/>
          <w:lang w:val="zh-CN" w:eastAsia="zh-CN"/>
        </w:rPr>
        <w:t>%；项目支出</w:t>
      </w:r>
      <w:r>
        <w:rPr>
          <w:rFonts w:hint="eastAsia" w:ascii="仿宋_GB2312" w:eastAsia="仿宋_GB2312"/>
          <w:color w:val="auto"/>
          <w:sz w:val="32"/>
          <w:szCs w:val="32"/>
          <w:highlight w:val="none"/>
          <w:lang w:val="zh-CN" w:eastAsia="zh-CN"/>
        </w:rPr>
        <w:t>241.28</w:t>
      </w:r>
      <w:r>
        <w:rPr>
          <w:rFonts w:hint="eastAsia" w:ascii="Times New Roman" w:hAnsi="Times New Roman" w:eastAsia="仿宋_GB2312" w:cs="仿宋_GB2312"/>
          <w:color w:val="auto"/>
          <w:sz w:val="32"/>
          <w:szCs w:val="32"/>
          <w:highlight w:val="none"/>
          <w:lang w:val="zh-CN" w:eastAsia="zh-CN"/>
        </w:rPr>
        <w:t>万元，占</w:t>
      </w:r>
      <w:r>
        <w:rPr>
          <w:rFonts w:hint="eastAsia" w:ascii="仿宋_GB2312" w:eastAsia="仿宋_GB2312"/>
          <w:color w:val="auto"/>
          <w:sz w:val="32"/>
          <w:szCs w:val="32"/>
          <w:highlight w:val="none"/>
          <w:lang w:val="zh-CN" w:eastAsia="zh-CN"/>
        </w:rPr>
        <w:t>8.53%</w:t>
      </w:r>
      <w:r>
        <w:rPr>
          <w:rFonts w:hint="eastAsia" w:ascii="Times New Roman" w:hAnsi="Times New Roman" w:eastAsia="仿宋_GB2312" w:cs="仿宋_GB2312"/>
          <w:color w:val="auto"/>
          <w:sz w:val="32"/>
          <w:szCs w:val="32"/>
          <w:highlight w:val="none"/>
          <w:lang w:val="zh-CN" w:eastAsia="zh-CN"/>
        </w:rPr>
        <w:t>；上缴上级支出</w:t>
      </w:r>
      <w:r>
        <w:rPr>
          <w:rFonts w:hint="eastAsia" w:ascii="仿宋_GB2312" w:eastAsia="仿宋_GB2312"/>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eastAsia" w:ascii="仿宋_GB2312" w:eastAsia="仿宋_GB2312"/>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%；经营支出</w:t>
      </w:r>
      <w:r>
        <w:rPr>
          <w:rFonts w:hint="eastAsia" w:ascii="仿宋_GB2312" w:eastAsia="仿宋_GB2312"/>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eastAsia" w:ascii="仿宋_GB2312" w:eastAsia="仿宋_GB2312"/>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%；对附属单位补助支出</w:t>
      </w:r>
      <w:r>
        <w:rPr>
          <w:rFonts w:hint="eastAsia" w:ascii="仿宋_GB2312" w:eastAsia="仿宋_GB2312"/>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eastAsia" w:ascii="仿宋_GB2312" w:eastAsia="仿宋_GB2312"/>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zh-CN"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2,798.99万元，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2,798.99</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2,798.99</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2,798.99</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增加198.57万元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增长7.64%，</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z w:val="32"/>
          <w:szCs w:val="32"/>
          <w:lang w:val="en-US" w:eastAsia="zh-CN"/>
        </w:rPr>
        <w:t>本年进行人员调资</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2,543.40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2,798.99</w:t>
      </w:r>
      <w:r>
        <w:rPr>
          <w:rFonts w:hint="eastAsia" w:ascii="仿宋_GB2312" w:eastAsia="仿宋_GB2312"/>
          <w:color w:val="auto"/>
          <w:spacing w:val="0"/>
          <w:sz w:val="32"/>
          <w:szCs w:val="32"/>
          <w:highlight w:val="none"/>
          <w:lang w:eastAsia="zh-CN"/>
        </w:rPr>
        <w:t>万元，预决算差异率10.05%，主要原因是：</w:t>
      </w:r>
      <w:r>
        <w:rPr>
          <w:rFonts w:hint="eastAsia" w:ascii="仿宋_GB2312" w:hAnsi="仿宋" w:eastAsia="仿宋_GB2312"/>
          <w:sz w:val="32"/>
          <w:szCs w:val="32"/>
          <w:lang w:val="en-US" w:eastAsia="zh-CN"/>
        </w:rPr>
        <w:t>本年人员调资部分，未列入年初预算</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2023年度一般公共预算财政拨款支出2,798.99万元，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98.90%</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增加201.57万元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增长7.76%，</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2023年教职工调增艰苦边远津贴、基础绩效奖和补发2022年艰苦边远津贴。</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2,543.40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2,798.99</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10.05%</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2023年年初进行工资调资</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教育支出（类）</w:t>
      </w:r>
      <w:r>
        <w:rPr>
          <w:rFonts w:hint="eastAsia" w:ascii="仿宋_GB2312" w:hAnsi="Times New Roman" w:eastAsia="仿宋_GB2312" w:cs="Times New Roman"/>
          <w:color w:val="auto"/>
          <w:spacing w:val="0"/>
          <w:kern w:val="2"/>
          <w:sz w:val="32"/>
          <w:szCs w:val="32"/>
          <w:highlight w:val="none"/>
          <w:lang w:val="zh-CN" w:eastAsia="zh-CN" w:bidi="ar-SA"/>
        </w:rPr>
        <w:t>2,182.08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77.96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324.53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11.59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104.13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3.72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188.26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6.73</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w:t>
      </w:r>
      <w:r>
        <w:rPr>
          <w:rFonts w:hint="eastAsia" w:ascii="仿宋_GB2312" w:hAnsi="Times New Roman" w:eastAsia="仿宋_GB2312" w:cs="Times New Roman"/>
          <w:b w:val="0"/>
          <w:bCs w:val="0"/>
          <w:color w:val="auto"/>
          <w:spacing w:val="0"/>
          <w:kern w:val="2"/>
          <w:sz w:val="32"/>
          <w:szCs w:val="32"/>
          <w:highlight w:val="none"/>
          <w:lang w:val="en-US" w:eastAsia="zh-CN" w:bidi="ar-SA"/>
        </w:rPr>
        <w:t>104.13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仿宋_GB2312" w:hAnsi="Times New Roman" w:eastAsia="仿宋_GB2312" w:cs="Times New Roman"/>
          <w:b w:val="0"/>
          <w:bCs w:val="0"/>
          <w:color w:val="auto"/>
          <w:spacing w:val="0"/>
          <w:kern w:val="2"/>
          <w:sz w:val="32"/>
          <w:szCs w:val="32"/>
          <w:highlight w:val="none"/>
          <w:lang w:val="en-US" w:eastAsia="zh-CN" w:bidi="ar-SA"/>
        </w:rPr>
        <w:t>5.71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仿宋_GB2312" w:hAnsi="Times New Roman" w:eastAsia="仿宋_GB2312" w:cs="Times New Roman"/>
          <w:b w:val="0"/>
          <w:bCs w:val="0"/>
          <w:color w:val="auto"/>
          <w:spacing w:val="0"/>
          <w:kern w:val="2"/>
          <w:sz w:val="32"/>
          <w:szCs w:val="32"/>
          <w:highlight w:val="none"/>
          <w:lang w:val="en-US" w:eastAsia="zh-CN" w:bidi="ar-SA"/>
        </w:rPr>
        <w:t>5.81%</w:t>
      </w:r>
      <w:r>
        <w:rPr>
          <w:rFonts w:hint="eastAsia" w:ascii="Times New Roman" w:hAnsi="Times New Roman" w:eastAsia="仿宋_GB2312" w:cs="Times New Roman"/>
          <w:color w:val="auto"/>
          <w:kern w:val="2"/>
          <w:sz w:val="32"/>
          <w:szCs w:val="32"/>
          <w:highlight w:val="none"/>
          <w:lang w:val="en-US" w:eastAsia="zh-CN" w:bidi="ar-SA"/>
        </w:rPr>
        <w:t>，主要原因是：</w:t>
      </w:r>
      <w:bookmarkStart w:id="18" w:name="OLE_LINK1"/>
      <w:r>
        <w:rPr>
          <w:rFonts w:hint="eastAsia" w:ascii="仿宋_GB2312" w:hAnsi="Times New Roman" w:eastAsia="仿宋_GB2312" w:cs="Times New Roman"/>
          <w:b w:val="0"/>
          <w:bCs w:val="0"/>
          <w:color w:val="auto"/>
          <w:spacing w:val="0"/>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年新增14人免费师范生</w:t>
      </w:r>
      <w:bookmarkEnd w:id="18"/>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2.住房保障支出（类）住房改革支出（款）住房公积金（项）:支出决算数为</w:t>
      </w:r>
      <w:r>
        <w:rPr>
          <w:rFonts w:hint="eastAsia" w:ascii="仿宋_GB2312" w:hAnsi="Times New Roman" w:eastAsia="仿宋_GB2312" w:cs="Times New Roman"/>
          <w:b w:val="0"/>
          <w:bCs w:val="0"/>
          <w:color w:val="auto"/>
          <w:spacing w:val="0"/>
          <w:kern w:val="2"/>
          <w:sz w:val="32"/>
          <w:szCs w:val="32"/>
          <w:highlight w:val="none"/>
          <w:lang w:val="en-US" w:eastAsia="zh-CN" w:bidi="ar-SA"/>
        </w:rPr>
        <w:t>188.26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仿宋_GB2312" w:hAnsi="Times New Roman" w:eastAsia="仿宋_GB2312" w:cs="Times New Roman"/>
          <w:b w:val="0"/>
          <w:bCs w:val="0"/>
          <w:color w:val="auto"/>
          <w:spacing w:val="0"/>
          <w:kern w:val="2"/>
          <w:sz w:val="32"/>
          <w:szCs w:val="32"/>
          <w:highlight w:val="none"/>
          <w:lang w:val="en-US" w:eastAsia="zh-CN" w:bidi="ar-SA"/>
        </w:rPr>
        <w:t>21.76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仿宋_GB2312" w:hAnsi="Times New Roman" w:eastAsia="仿宋_GB2312" w:cs="Times New Roman"/>
          <w:b w:val="0"/>
          <w:bCs w:val="0"/>
          <w:color w:val="auto"/>
          <w:spacing w:val="0"/>
          <w:kern w:val="2"/>
          <w:sz w:val="32"/>
          <w:szCs w:val="32"/>
          <w:highlight w:val="none"/>
          <w:lang w:val="en-US" w:eastAsia="zh-CN" w:bidi="ar-SA"/>
        </w:rPr>
        <w:t>13.07%，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highlight w:val="none"/>
          <w:lang w:val="en-US" w:eastAsia="zh-CN"/>
        </w:rPr>
        <w:t>2023年年初进行工资调资</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3.教育支出（类）普通教育（款）小学教育（项）:支出决算数为</w:t>
      </w:r>
      <w:r>
        <w:rPr>
          <w:rFonts w:hint="eastAsia" w:ascii="仿宋_GB2312" w:hAnsi="Times New Roman" w:eastAsia="仿宋_GB2312" w:cs="Times New Roman"/>
          <w:b w:val="0"/>
          <w:bCs w:val="0"/>
          <w:color w:val="auto"/>
          <w:spacing w:val="0"/>
          <w:kern w:val="2"/>
          <w:sz w:val="32"/>
          <w:szCs w:val="32"/>
          <w:highlight w:val="none"/>
          <w:lang w:val="en-US" w:eastAsia="zh-CN" w:bidi="ar-SA"/>
        </w:rPr>
        <w:t>1,921.65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仿宋_GB2312" w:hAnsi="Times New Roman" w:eastAsia="仿宋_GB2312" w:cs="Times New Roman"/>
          <w:b w:val="0"/>
          <w:bCs w:val="0"/>
          <w:color w:val="auto"/>
          <w:spacing w:val="0"/>
          <w:kern w:val="2"/>
          <w:sz w:val="32"/>
          <w:szCs w:val="32"/>
          <w:highlight w:val="none"/>
          <w:lang w:val="en-US" w:eastAsia="zh-CN" w:bidi="ar-SA"/>
        </w:rPr>
        <w:t>126.05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仿宋_GB2312" w:hAnsi="Times New Roman" w:eastAsia="仿宋_GB2312" w:cs="Times New Roman"/>
          <w:b w:val="0"/>
          <w:bCs w:val="0"/>
          <w:color w:val="auto"/>
          <w:spacing w:val="0"/>
          <w:kern w:val="2"/>
          <w:sz w:val="32"/>
          <w:szCs w:val="32"/>
          <w:highlight w:val="none"/>
          <w:lang w:val="en-US" w:eastAsia="zh-CN" w:bidi="ar-SA"/>
        </w:rPr>
        <w:t>7.02%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highlight w:val="none"/>
          <w:lang w:val="en-US" w:eastAsia="zh-CN"/>
        </w:rPr>
        <w:t>2023年教职工调增艰苦边远津贴、基础绩效奖和补发2022年艰苦边远津贴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4.社会保障和就业支出（类）行政事业单位养老支出（款）事业单位离退休（项）:支出决算数为</w:t>
      </w:r>
      <w:r>
        <w:rPr>
          <w:rFonts w:hint="eastAsia" w:ascii="仿宋_GB2312" w:hAnsi="Times New Roman" w:eastAsia="仿宋_GB2312" w:cs="Times New Roman"/>
          <w:b w:val="0"/>
          <w:bCs w:val="0"/>
          <w:color w:val="auto"/>
          <w:spacing w:val="0"/>
          <w:kern w:val="2"/>
          <w:sz w:val="32"/>
          <w:szCs w:val="32"/>
          <w:highlight w:val="none"/>
          <w:lang w:val="en-US" w:eastAsia="zh-CN" w:bidi="ar-SA"/>
        </w:rPr>
        <w:t>65.50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仿宋_GB2312" w:hAnsi="Times New Roman" w:eastAsia="仿宋_GB2312" w:cs="Times New Roman"/>
          <w:b w:val="0"/>
          <w:bCs w:val="0"/>
          <w:color w:val="auto"/>
          <w:spacing w:val="0"/>
          <w:kern w:val="2"/>
          <w:sz w:val="32"/>
          <w:szCs w:val="32"/>
          <w:highlight w:val="none"/>
          <w:lang w:val="en-US" w:eastAsia="zh-CN" w:bidi="ar-SA"/>
        </w:rPr>
        <w:t>10.27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仿宋_GB2312" w:hAnsi="Times New Roman" w:eastAsia="仿宋_GB2312" w:cs="Times New Roman"/>
          <w:b w:val="0"/>
          <w:bCs w:val="0"/>
          <w:color w:val="auto"/>
          <w:spacing w:val="0"/>
          <w:kern w:val="2"/>
          <w:sz w:val="32"/>
          <w:szCs w:val="32"/>
          <w:highlight w:val="none"/>
          <w:lang w:val="en-US" w:eastAsia="zh-CN" w:bidi="ar-SA"/>
        </w:rPr>
        <w:t>13.55%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退休人员医疗缴费满年限不再继续缴费</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b w:val="0"/>
          <w:bCs w:val="0"/>
          <w:color w:val="auto"/>
          <w:spacing w:val="0"/>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5.教育支出（类）普通教育（款）学前教育（项）:支出决算数为</w:t>
      </w:r>
      <w:r>
        <w:rPr>
          <w:rFonts w:hint="eastAsia" w:ascii="仿宋_GB2312" w:hAnsi="Times New Roman" w:eastAsia="仿宋_GB2312" w:cs="Times New Roman"/>
          <w:b w:val="0"/>
          <w:bCs w:val="0"/>
          <w:color w:val="auto"/>
          <w:spacing w:val="0"/>
          <w:kern w:val="2"/>
          <w:sz w:val="32"/>
          <w:szCs w:val="32"/>
          <w:highlight w:val="none"/>
          <w:lang w:val="en-US" w:eastAsia="zh-CN" w:bidi="ar-SA"/>
        </w:rPr>
        <w:t>29.71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仿宋_GB2312" w:hAnsi="Times New Roman" w:eastAsia="仿宋_GB2312" w:cs="Times New Roman"/>
          <w:b w:val="0"/>
          <w:bCs w:val="0"/>
          <w:color w:val="auto"/>
          <w:spacing w:val="0"/>
          <w:kern w:val="2"/>
          <w:sz w:val="32"/>
          <w:szCs w:val="32"/>
          <w:highlight w:val="none"/>
          <w:lang w:val="en-US" w:eastAsia="zh-CN" w:bidi="ar-SA"/>
        </w:rPr>
        <w:t>7.41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仿宋_GB2312" w:hAnsi="Times New Roman" w:eastAsia="仿宋_GB2312" w:cs="Times New Roman"/>
          <w:b w:val="0"/>
          <w:bCs w:val="0"/>
          <w:color w:val="auto"/>
          <w:spacing w:val="0"/>
          <w:kern w:val="2"/>
          <w:sz w:val="32"/>
          <w:szCs w:val="32"/>
          <w:highlight w:val="none"/>
          <w:lang w:val="en-US" w:eastAsia="zh-CN" w:bidi="ar-SA"/>
        </w:rPr>
        <w:t>19.97%，主要原因是：2023年学前幼儿人数的减少</w:t>
      </w:r>
      <w:r>
        <w:rPr>
          <w:rFonts w:hint="eastAsia" w:ascii="仿宋_GB2312" w:hAnsi="Times New Roman" w:eastAsia="仿宋_GB2312" w:cs="Times New Roman"/>
          <w:b w:val="0"/>
          <w:bCs w:val="0"/>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Times New Roman" w:eastAsia="仿宋_GB2312" w:cs="Times New Roman"/>
          <w:b w:val="0"/>
          <w:bCs w:val="0"/>
          <w:color w:val="auto"/>
          <w:spacing w:val="0"/>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6.教育支出（类）普通教育（款）初中教育（项）:支出决算数为</w:t>
      </w:r>
      <w:r>
        <w:rPr>
          <w:rFonts w:hint="eastAsia" w:ascii="仿宋_GB2312" w:hAnsi="Times New Roman" w:eastAsia="仿宋_GB2312" w:cs="Times New Roman"/>
          <w:b w:val="0"/>
          <w:bCs w:val="0"/>
          <w:color w:val="auto"/>
          <w:spacing w:val="0"/>
          <w:kern w:val="2"/>
          <w:sz w:val="32"/>
          <w:szCs w:val="32"/>
          <w:highlight w:val="none"/>
          <w:lang w:val="en-US" w:eastAsia="zh-CN" w:bidi="ar-SA"/>
        </w:rPr>
        <w:t>230.72万元，比上年决算增加9.41万</w:t>
      </w:r>
      <w:r>
        <w:rPr>
          <w:rFonts w:hint="eastAsia" w:eastAsia="仿宋_GB2312" w:cs="Times New Roman"/>
          <w:color w:val="auto"/>
          <w:kern w:val="2"/>
          <w:sz w:val="32"/>
          <w:szCs w:val="32"/>
          <w:highlight w:val="none"/>
          <w:lang w:val="en-US" w:eastAsia="zh-CN" w:bidi="ar-SA"/>
        </w:rPr>
        <w:t>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仿宋_GB2312" w:hAnsi="Times New Roman" w:eastAsia="仿宋_GB2312" w:cs="Times New Roman"/>
          <w:b w:val="0"/>
          <w:bCs w:val="0"/>
          <w:color w:val="auto"/>
          <w:spacing w:val="0"/>
          <w:kern w:val="2"/>
          <w:sz w:val="32"/>
          <w:szCs w:val="32"/>
          <w:highlight w:val="none"/>
          <w:lang w:val="en-US" w:eastAsia="zh-CN" w:bidi="ar-SA"/>
        </w:rPr>
        <w:t>4.25%，主要原因是：</w:t>
      </w:r>
      <w:r>
        <w:rPr>
          <w:rFonts w:hint="eastAsia" w:ascii="仿宋_GB2312" w:eastAsia="仿宋_GB2312"/>
          <w:sz w:val="32"/>
          <w:szCs w:val="32"/>
          <w:highlight w:val="none"/>
          <w:lang w:val="en-US" w:eastAsia="zh-CN"/>
        </w:rPr>
        <w:t>2023年教职工调增艰苦边远津贴、基础绩效奖和补发2022年艰苦边远津贴。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7.社会保障和就业支出（类）行政事业单位养老支出（款）机关事业单位职业年金缴费支出（项）:支出决算数为</w:t>
      </w:r>
      <w:r>
        <w:rPr>
          <w:rFonts w:hint="eastAsia" w:ascii="仿宋_GB2312" w:eastAsia="仿宋_GB2312"/>
          <w:sz w:val="32"/>
          <w:szCs w:val="32"/>
          <w:highlight w:val="none"/>
          <w:lang w:val="en-US" w:eastAsia="zh-CN"/>
        </w:rPr>
        <w:t>15.64万元，比上年决算增加11.43万元，增</w:t>
      </w:r>
      <w:bookmarkStart w:id="49" w:name="_GoBack"/>
      <w:bookmarkEnd w:id="49"/>
      <w:r>
        <w:rPr>
          <w:rFonts w:hint="eastAsia" w:ascii="仿宋_GB2312" w:eastAsia="仿宋_GB2312"/>
          <w:sz w:val="32"/>
          <w:szCs w:val="32"/>
          <w:highlight w:val="none"/>
          <w:lang w:val="en-US" w:eastAsia="zh-CN"/>
        </w:rPr>
        <w:t>长73.08%，主要原因是：</w:t>
      </w:r>
      <w:r>
        <w:rPr>
          <w:rFonts w:hint="eastAsia" w:ascii="仿宋_GB2312" w:hAnsi="Times New Roman" w:eastAsia="仿宋_GB2312" w:cs="Times New Roman"/>
          <w:b w:val="0"/>
          <w:bCs w:val="0"/>
          <w:color w:val="auto"/>
          <w:spacing w:val="0"/>
          <w:kern w:val="2"/>
          <w:sz w:val="32"/>
          <w:szCs w:val="32"/>
          <w:highlight w:val="none"/>
          <w:lang w:val="en-US" w:eastAsia="zh-CN" w:bidi="ar-SA"/>
        </w:rPr>
        <w:t>2023</w:t>
      </w:r>
      <w:r>
        <w:rPr>
          <w:rFonts w:hint="eastAsia" w:eastAsia="仿宋_GB2312" w:cs="Times New Roman"/>
          <w:color w:val="auto"/>
          <w:kern w:val="2"/>
          <w:sz w:val="32"/>
          <w:szCs w:val="32"/>
          <w:highlight w:val="none"/>
          <w:lang w:val="en-US" w:eastAsia="zh-CN" w:bidi="ar-SA"/>
        </w:rPr>
        <w:t>年新增14人免费师范生</w:t>
      </w:r>
      <w:r>
        <w:rPr>
          <w:rFonts w:hint="eastAsia" w:ascii="仿宋_GB2312" w:eastAsia="仿宋_GB2312"/>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8.社会保障和就业支出（类）行政事业单位养老支出（款）机关事业单位基本养老保险缴费支出（项）:支出决算数为</w:t>
      </w:r>
      <w:r>
        <w:rPr>
          <w:rFonts w:hint="eastAsia" w:ascii="仿宋_GB2312" w:eastAsia="仿宋_GB2312"/>
          <w:sz w:val="32"/>
          <w:szCs w:val="32"/>
          <w:highlight w:val="none"/>
          <w:lang w:val="en-US" w:eastAsia="zh-CN"/>
        </w:rPr>
        <w:t>243.39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w:t>
      </w:r>
      <w:r>
        <w:rPr>
          <w:rFonts w:hint="eastAsia" w:ascii="仿宋_GB2312" w:eastAsia="仿宋_GB2312"/>
          <w:sz w:val="32"/>
          <w:szCs w:val="32"/>
          <w:highlight w:val="none"/>
          <w:lang w:val="en-US" w:eastAsia="zh-CN"/>
        </w:rPr>
        <w:t>加44.90万元，增长22.62%，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highlight w:val="none"/>
          <w:lang w:val="en-US" w:eastAsia="zh-CN"/>
        </w:rPr>
        <w:t>2023年教职工调增艰苦边远津贴、基础绩效奖和补发2022年艰苦边远津贴</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2,588.82</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2,561.52</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基本工资、津贴补贴、奖金、绩效工资、机关事业单位基本养老保险缴费、职业年金缴费、职工基本医疗保险缴费、其他社会保障缴费、住房公积金、其他工资福利支出、退休费、生活补助、奖励金。</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宋体" w:eastAsia="仿宋_GB2312" w:cs="宋体"/>
          <w:color w:val="auto"/>
          <w:kern w:val="0"/>
          <w:sz w:val="32"/>
          <w:szCs w:val="32"/>
          <w:highlight w:val="none"/>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27.30</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工会经费、福利费</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增加0.00万元，增长0.00%，主要原因是：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lang w:val="zh-CN" w:eastAsia="zh-CN"/>
        </w:rPr>
        <w:t>；公务用车购置及运行维护费支出0.00万元，占0.00%，比上年增加0.00万元，增长0.00%，主要原因是：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因公出国（境）费支出0.00万元，开支内容包括无此项开支内容</w:t>
      </w:r>
      <w:r>
        <w:rPr>
          <w:rFonts w:hint="eastAsia"/>
          <w:lang w:eastAsia="zh-CN"/>
        </w:rPr>
        <w:t>。</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本单位无此项支出，无差异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本单位无此项支出</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本单位无此项支出</w:t>
      </w:r>
      <w:r>
        <w:rPr>
          <w:rFonts w:hint="eastAsia" w:ascii="仿宋_GB2312" w:hAnsi="宋体" w:eastAsia="仿宋_GB2312" w:cs="宋体"/>
          <w:kern w:val="0"/>
          <w:sz w:val="32"/>
          <w:szCs w:val="32"/>
        </w:rPr>
        <w:t>，预决算无差异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本单位无此项支出</w:t>
      </w:r>
      <w:r>
        <w:rPr>
          <w:rFonts w:hint="eastAsia" w:ascii="仿宋_GB2312" w:hAnsi="宋体" w:eastAsia="仿宋_GB2312" w:cs="宋体"/>
          <w:kern w:val="0"/>
          <w:sz w:val="32"/>
          <w:szCs w:val="32"/>
        </w:rPr>
        <w:t>，预决算无差异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本单位无此项支出</w:t>
      </w:r>
      <w:r>
        <w:rPr>
          <w:rFonts w:hint="eastAsia" w:ascii="仿宋_GB2312" w:hAnsi="宋体" w:eastAsia="仿宋_GB2312" w:cs="宋体"/>
          <w:kern w:val="0"/>
          <w:sz w:val="32"/>
          <w:szCs w:val="32"/>
        </w:rPr>
        <w:t>，预决算无差异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本单位无此项支出</w:t>
      </w:r>
      <w:r>
        <w:rPr>
          <w:rFonts w:hint="eastAsia" w:ascii="仿宋_GB2312" w:hAnsi="宋体" w:eastAsia="仿宋_GB2312" w:cs="宋体"/>
          <w:kern w:val="0"/>
          <w:sz w:val="32"/>
          <w:szCs w:val="32"/>
        </w:rPr>
        <w:t>，预决算无差异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本单位无此项支出</w:t>
      </w:r>
      <w:r>
        <w:rPr>
          <w:rFonts w:hint="eastAsia" w:ascii="仿宋_GB2312" w:hAnsi="宋体" w:eastAsia="仿宋_GB2312" w:cs="宋体"/>
          <w:kern w:val="0"/>
          <w:sz w:val="32"/>
          <w:szCs w:val="32"/>
        </w:rPr>
        <w:t>，预决算无差异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9" w:name="_Toc5810"/>
      <w:bookmarkStart w:id="20"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9"/>
      <w:bookmarkEnd w:id="20"/>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w:t>
      </w:r>
      <w:r>
        <w:rPr>
          <w:rFonts w:hint="eastAsia" w:ascii="仿宋_GB2312" w:eastAsia="仿宋_GB2312"/>
          <w:b w:val="0"/>
          <w:bCs w:val="0"/>
          <w:color w:val="auto"/>
          <w:sz w:val="32"/>
          <w:szCs w:val="32"/>
          <w:highlight w:val="none"/>
          <w:lang w:eastAsia="zh-CN"/>
        </w:rPr>
        <w:t>有资本经营</w:t>
      </w:r>
      <w:r>
        <w:rPr>
          <w:rFonts w:hint="eastAsia" w:ascii="仿宋_GB2312" w:eastAsia="仿宋_GB2312"/>
          <w:b w:val="0"/>
          <w:bCs w:val="0"/>
          <w:color w:val="auto"/>
          <w:sz w:val="32"/>
          <w:szCs w:val="32"/>
          <w:highlight w:val="none"/>
        </w:rPr>
        <w:t>预</w:t>
      </w:r>
      <w:r>
        <w:rPr>
          <w:rFonts w:hint="eastAsia" w:ascii="仿宋_GB2312" w:eastAsia="仿宋_GB2312"/>
          <w:color w:val="auto"/>
          <w:sz w:val="32"/>
          <w:szCs w:val="32"/>
          <w:highlight w:val="none"/>
        </w:rPr>
        <w:t>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1" w:name="_Toc1235"/>
      <w:bookmarkStart w:id="22"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1"/>
      <w:bookmarkEnd w:id="2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3" w:name="_Toc14519"/>
      <w:bookmarkStart w:id="24"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3"/>
      <w:bookmarkEnd w:id="24"/>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sz w:val="32"/>
          <w:szCs w:val="32"/>
          <w:highlight w:val="none"/>
          <w:lang w:val="zh-CN" w:eastAsia="zh-CN"/>
        </w:rPr>
      </w:pPr>
      <w:bookmarkStart w:id="25" w:name="_Toc227"/>
      <w:bookmarkStart w:id="26" w:name="_Toc26704"/>
      <w:r>
        <w:rPr>
          <w:rFonts w:hint="eastAsia" w:ascii="仿宋_GB2312" w:eastAsia="仿宋_GB2312"/>
          <w:b w:val="0"/>
          <w:bCs w:val="0"/>
          <w:color w:val="auto"/>
          <w:sz w:val="32"/>
          <w:szCs w:val="32"/>
          <w:highlight w:val="none"/>
          <w:lang w:val="zh-CN" w:eastAsia="zh-CN"/>
        </w:rPr>
        <w:t>2023年度</w:t>
      </w:r>
      <w:r>
        <w:rPr>
          <w:rFonts w:hint="eastAsia" w:ascii="仿宋_GB2312" w:eastAsia="仿宋_GB2312"/>
          <w:b w:val="0"/>
          <w:bCs w:val="0"/>
          <w:color w:val="auto"/>
          <w:sz w:val="32"/>
          <w:szCs w:val="32"/>
          <w:highlight w:val="none"/>
          <w:lang w:val="en-US" w:eastAsia="zh-CN"/>
        </w:rPr>
        <w:t>裕民县阿勒腾也木勒乡中心校</w:t>
      </w:r>
      <w:r>
        <w:rPr>
          <w:rFonts w:hint="eastAsia" w:ascii="仿宋_GB2312" w:eastAsia="仿宋_GB2312"/>
          <w:b w:val="0"/>
          <w:bCs w:val="0"/>
          <w:color w:val="auto"/>
          <w:sz w:val="32"/>
          <w:szCs w:val="32"/>
          <w:highlight w:val="none"/>
          <w:lang w:val="zh-CN" w:eastAsia="zh-CN"/>
        </w:rPr>
        <w:t>（事业单位）公用经费支出27.30万元，比上年减少1.19万元，下降4.17%，</w:t>
      </w:r>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color w:val="auto"/>
          <w:sz w:val="32"/>
          <w:szCs w:val="32"/>
          <w:highlight w:val="none"/>
          <w:lang w:val="zh-CN" w:eastAsia="zh-CN"/>
        </w:rPr>
        <w:t>商品服务支出中</w:t>
      </w:r>
      <w:r>
        <w:rPr>
          <w:rFonts w:hint="eastAsia" w:ascii="仿宋_GB2312" w:eastAsia="仿宋_GB2312"/>
          <w:sz w:val="32"/>
          <w:szCs w:val="32"/>
          <w:highlight w:val="none"/>
          <w:lang w:val="en-US" w:eastAsia="zh-CN"/>
        </w:rPr>
        <w:t>福利费支出减少</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5"/>
      <w:bookmarkEnd w:id="26"/>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b w:val="0"/>
          <w:bCs w:val="0"/>
          <w:color w:val="auto"/>
          <w:sz w:val="32"/>
          <w:szCs w:val="32"/>
          <w:highlight w:val="none"/>
          <w:lang w:val="zh-CN" w:eastAsia="zh-CN"/>
        </w:rPr>
      </w:pPr>
      <w:r>
        <w:rPr>
          <w:rFonts w:hint="eastAsia" w:ascii="仿宋_GB2312" w:eastAsia="仿宋_GB2312"/>
          <w:b w:val="0"/>
          <w:bCs w:val="0"/>
          <w:color w:val="auto"/>
          <w:sz w:val="32"/>
          <w:szCs w:val="32"/>
          <w:highlight w:val="none"/>
          <w:lang w:val="zh-CN" w:eastAsia="zh-CN"/>
        </w:rPr>
        <w:t>2023年度政府采购支出总额92.39万元，其中：政府采购货物支出92.39万元、政府采购工程支出0.00万元、政府采购服务支出0.00万元。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zh-CN" w:eastAsia="zh-CN"/>
        </w:rPr>
        <w:t>授予中小企业合同金额92.39万元，占政府采购支出总额的100.00</w:t>
      </w:r>
      <w:r>
        <w:rPr>
          <w:rFonts w:hint="default" w:ascii="仿宋_GB2312" w:eastAsia="仿宋_GB2312"/>
          <w:b w:val="0"/>
          <w:bCs w:val="0"/>
          <w:color w:val="auto"/>
          <w:sz w:val="32"/>
          <w:szCs w:val="32"/>
          <w:highlight w:val="none"/>
          <w:lang w:val="zh-CN" w:eastAsia="zh-CN"/>
        </w:rPr>
        <w:t>%</w:t>
      </w:r>
      <w:r>
        <w:rPr>
          <w:rFonts w:hint="eastAsia" w:ascii="仿宋_GB2312" w:eastAsia="仿宋_GB2312"/>
          <w:b w:val="0"/>
          <w:bCs w:val="0"/>
          <w:color w:val="auto"/>
          <w:sz w:val="32"/>
          <w:szCs w:val="32"/>
          <w:highlight w:val="none"/>
          <w:lang w:val="zh-CN" w:eastAsia="zh-CN"/>
        </w:rPr>
        <w:t>，其中：授予小微企业合同金额92.39万元，占政府采购支出总额的100.00</w:t>
      </w:r>
      <w:r>
        <w:rPr>
          <w:rFonts w:hint="default" w:ascii="仿宋_GB2312" w:eastAsia="仿宋_GB2312"/>
          <w:b w:val="0"/>
          <w:bCs w:val="0"/>
          <w:color w:val="auto"/>
          <w:sz w:val="32"/>
          <w:szCs w:val="32"/>
          <w:highlight w:val="none"/>
          <w:lang w:val="zh-CN" w:eastAsia="zh-CN"/>
        </w:rPr>
        <w:t>%</w:t>
      </w:r>
      <w:r>
        <w:rPr>
          <w:rFonts w:hint="eastAsia" w:ascii="仿宋_GB2312" w:eastAsia="仿宋_GB2312"/>
          <w:b w:val="0"/>
          <w:bCs w:val="0"/>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7" w:name="_Toc8391"/>
      <w:bookmarkStart w:id="28" w:name="_Toc4591"/>
      <w:r>
        <w:rPr>
          <w:rFonts w:hint="eastAsia" w:ascii="Times New Roman" w:hAnsi="Times New Roman" w:eastAsia="黑体" w:cs="Times New Roman"/>
          <w:color w:val="auto"/>
          <w:sz w:val="32"/>
          <w:szCs w:val="30"/>
          <w:highlight w:val="none"/>
          <w:lang w:val="zh-CN" w:eastAsia="zh-CN"/>
        </w:rPr>
        <w:t>（三）国有资产占用情况说明</w:t>
      </w:r>
      <w:bookmarkEnd w:id="27"/>
      <w:bookmarkEnd w:id="28"/>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b w:val="0"/>
          <w:bCs w:val="0"/>
          <w:color w:val="auto"/>
          <w:sz w:val="32"/>
          <w:szCs w:val="32"/>
          <w:highlight w:val="none"/>
          <w:lang w:val="zh-CN" w:eastAsia="zh-CN"/>
        </w:rPr>
      </w:pPr>
      <w:r>
        <w:rPr>
          <w:rFonts w:hint="eastAsia" w:ascii="仿宋_GB2312" w:eastAsia="仿宋_GB2312"/>
          <w:b w:val="0"/>
          <w:bCs w:val="0"/>
          <w:color w:val="auto"/>
          <w:sz w:val="32"/>
          <w:szCs w:val="32"/>
          <w:highlight w:val="none"/>
          <w:lang w:val="en-US" w:eastAsia="zh-CN"/>
        </w:rPr>
        <w:t>截至2023</w:t>
      </w:r>
      <w:r>
        <w:rPr>
          <w:rFonts w:hint="eastAsia" w:ascii="仿宋_GB2312" w:eastAsia="仿宋_GB2312"/>
          <w:b w:val="0"/>
          <w:bCs w:val="0"/>
          <w:color w:val="auto"/>
          <w:sz w:val="32"/>
          <w:szCs w:val="32"/>
          <w:highlight w:val="none"/>
          <w:lang w:val="zh-CN" w:eastAsia="zh-CN"/>
        </w:rPr>
        <w:t>年</w:t>
      </w:r>
      <w:r>
        <w:rPr>
          <w:rFonts w:hint="eastAsia" w:ascii="仿宋_GB2312" w:eastAsia="仿宋_GB2312"/>
          <w:b w:val="0"/>
          <w:bCs w:val="0"/>
          <w:color w:val="auto"/>
          <w:sz w:val="32"/>
          <w:szCs w:val="32"/>
          <w:highlight w:val="none"/>
          <w:lang w:val="en-US" w:eastAsia="zh-CN"/>
        </w:rPr>
        <w:t>12月31日</w:t>
      </w:r>
      <w:r>
        <w:rPr>
          <w:rFonts w:hint="eastAsia" w:ascii="仿宋_GB2312" w:eastAsia="仿宋_GB2312"/>
          <w:b w:val="0"/>
          <w:bCs w:val="0"/>
          <w:color w:val="auto"/>
          <w:sz w:val="32"/>
          <w:szCs w:val="32"/>
          <w:highlight w:val="none"/>
          <w:lang w:val="zh-CN" w:eastAsia="zh-CN"/>
        </w:rPr>
        <w:t>，</w:t>
      </w:r>
      <w:r>
        <w:rPr>
          <w:rFonts w:hint="eastAsia" w:ascii="仿宋_GB2312" w:eastAsia="仿宋_GB2312"/>
          <w:b w:val="0"/>
          <w:bCs w:val="0"/>
          <w:color w:val="auto"/>
          <w:sz w:val="32"/>
          <w:szCs w:val="32"/>
          <w:highlight w:val="none"/>
          <w:lang w:val="en-US" w:eastAsia="zh-CN"/>
        </w:rPr>
        <w:t>固定资产原值</w:t>
      </w:r>
      <w:r>
        <w:rPr>
          <w:rFonts w:hint="eastAsia" w:ascii="仿宋_GB2312" w:eastAsia="仿宋_GB2312"/>
          <w:b w:val="0"/>
          <w:bCs w:val="0"/>
          <w:color w:val="auto"/>
          <w:sz w:val="32"/>
          <w:szCs w:val="32"/>
          <w:highlight w:val="none"/>
          <w:lang w:val="zh-CN" w:eastAsia="zh-CN"/>
        </w:rPr>
        <w:t>3,914.73</w:t>
      </w:r>
      <w:r>
        <w:rPr>
          <w:rFonts w:hint="eastAsia" w:ascii="仿宋_GB2312" w:eastAsia="仿宋_GB2312"/>
          <w:b w:val="0"/>
          <w:bCs w:val="0"/>
          <w:color w:val="auto"/>
          <w:sz w:val="32"/>
          <w:szCs w:val="32"/>
          <w:highlight w:val="none"/>
          <w:lang w:val="en-US" w:eastAsia="zh-CN"/>
        </w:rPr>
        <w:t>万元，房</w:t>
      </w:r>
      <w:r>
        <w:rPr>
          <w:rFonts w:hint="eastAsia" w:ascii="仿宋_GB2312" w:eastAsia="仿宋_GB2312"/>
          <w:b w:val="0"/>
          <w:bCs w:val="0"/>
          <w:color w:val="auto"/>
          <w:sz w:val="32"/>
          <w:szCs w:val="32"/>
          <w:highlight w:val="none"/>
          <w:lang w:val="zh-CN" w:eastAsia="zh-CN"/>
        </w:rPr>
        <w:t>屋20795.93平方米，价值2,339.62万元。车辆0辆，价值0.00万元，其中：副部（省）级及以上领导用车0辆、主要</w:t>
      </w:r>
      <w:r>
        <w:rPr>
          <w:rFonts w:hint="eastAsia" w:ascii="仿宋_GB2312" w:eastAsia="仿宋_GB2312"/>
          <w:b w:val="0"/>
          <w:bCs w:val="0"/>
          <w:color w:val="auto"/>
          <w:sz w:val="32"/>
          <w:szCs w:val="32"/>
          <w:highlight w:val="none"/>
          <w:lang w:val="en-US" w:eastAsia="zh-CN"/>
        </w:rPr>
        <w:t>负责人</w:t>
      </w:r>
      <w:r>
        <w:rPr>
          <w:rFonts w:hint="eastAsia" w:ascii="仿宋_GB2312" w:eastAsia="仿宋_GB2312"/>
          <w:b w:val="0"/>
          <w:bCs w:val="0"/>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b w:val="0"/>
          <w:bCs w:val="0"/>
          <w:color w:val="auto"/>
          <w:sz w:val="32"/>
          <w:szCs w:val="32"/>
          <w:highlight w:val="none"/>
          <w:lang w:val="en-US" w:eastAsia="zh-CN"/>
        </w:rPr>
        <w:t>服务</w:t>
      </w:r>
      <w:r>
        <w:rPr>
          <w:rFonts w:hint="eastAsia" w:ascii="仿宋_GB2312" w:eastAsia="仿宋_GB2312"/>
          <w:b w:val="0"/>
          <w:bCs w:val="0"/>
          <w:color w:val="auto"/>
          <w:sz w:val="32"/>
          <w:szCs w:val="32"/>
          <w:highlight w:val="none"/>
          <w:lang w:val="zh-CN" w:eastAsia="zh-CN"/>
        </w:rPr>
        <w:t>用车0辆、其他用车0辆，其他用车主要是：</w:t>
      </w:r>
      <w:r>
        <w:rPr>
          <w:rFonts w:hint="eastAsia" w:ascii="仿宋_GB2312" w:eastAsia="仿宋_GB2312"/>
          <w:b w:val="0"/>
          <w:bCs w:val="0"/>
          <w:color w:val="auto"/>
          <w:sz w:val="32"/>
          <w:szCs w:val="32"/>
          <w:highlight w:val="none"/>
          <w:lang w:val="en-US" w:eastAsia="zh-CN"/>
        </w:rPr>
        <w:t>我单位无其他用车</w:t>
      </w:r>
      <w:r>
        <w:rPr>
          <w:rFonts w:hint="eastAsia" w:ascii="仿宋_GB2312" w:eastAsia="仿宋_GB2312"/>
          <w:b w:val="0"/>
          <w:bCs w:val="0"/>
          <w:color w:val="auto"/>
          <w:sz w:val="32"/>
          <w:szCs w:val="32"/>
          <w:highlight w:val="none"/>
          <w:lang w:val="zh-CN" w:eastAsia="zh-CN"/>
        </w:rPr>
        <w:t>；单价100万元（含）以上设备（不含车辆）0</w:t>
      </w:r>
      <w:r>
        <w:rPr>
          <w:rFonts w:hint="eastAsia" w:ascii="仿宋_GB2312" w:eastAsia="仿宋_GB2312"/>
          <w:b w:val="0"/>
          <w:bCs w:val="0"/>
          <w:color w:val="auto"/>
          <w:sz w:val="32"/>
          <w:szCs w:val="32"/>
          <w:highlight w:val="none"/>
          <w:lang w:val="en-US" w:eastAsia="zh-CN"/>
        </w:rPr>
        <w:t>台</w:t>
      </w:r>
      <w:r>
        <w:rPr>
          <w:rFonts w:hint="eastAsia" w:ascii="仿宋_GB2312" w:eastAsia="仿宋_GB2312"/>
          <w:b w:val="0"/>
          <w:bCs w:val="0"/>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9" w:name="_Toc11283"/>
      <w:bookmarkStart w:id="30"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9"/>
      <w:bookmarkEnd w:id="3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Style w:val="12"/>
          <w:rFonts w:hint="eastAsia" w:ascii="仿宋_GB2312" w:hAnsi="仿宋_GB2312" w:eastAsia="仿宋_GB2312" w:cs="仿宋_GB2312"/>
          <w:b w:val="0"/>
          <w:color w:val="333333"/>
          <w:kern w:val="2"/>
          <w:sz w:val="32"/>
          <w:szCs w:val="32"/>
          <w:highlight w:val="none"/>
          <w:lang w:val="en-US" w:eastAsia="zh-CN" w:bidi="ar"/>
        </w:rPr>
        <w:t>2838.97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Style w:val="12"/>
          <w:rFonts w:hint="eastAsia" w:ascii="仿宋_GB2312" w:hAnsi="仿宋_GB2312" w:eastAsia="仿宋_GB2312" w:cs="仿宋_GB2312"/>
          <w:b w:val="0"/>
          <w:color w:val="333333"/>
          <w:kern w:val="2"/>
          <w:sz w:val="32"/>
          <w:szCs w:val="32"/>
          <w:highlight w:val="none"/>
          <w:lang w:val="en-US" w:eastAsia="zh-CN" w:bidi="ar"/>
        </w:rPr>
        <w:t>2830.10</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9</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ascii="仿宋_GB2312" w:hAnsi="仿宋_GB2312" w:eastAsia="仿宋_GB2312" w:cs="仿宋_GB2312"/>
          <w:color w:val="auto"/>
          <w:sz w:val="32"/>
          <w:szCs w:val="32"/>
          <w:lang w:val="en-US" w:eastAsia="zh-CN"/>
        </w:rPr>
        <w:t>256.47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ascii="仿宋_GB2312" w:hAnsi="仿宋_GB2312" w:eastAsia="仿宋_GB2312" w:cs="仿宋_GB2312"/>
          <w:color w:val="auto"/>
          <w:sz w:val="32"/>
          <w:szCs w:val="32"/>
          <w:lang w:val="en-US" w:eastAsia="zh-CN"/>
        </w:rPr>
        <w:t>219.16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color w:val="auto"/>
          <w:sz w:val="32"/>
          <w:szCs w:val="32"/>
          <w:highlight w:val="none"/>
          <w:lang w:val="en-US" w:eastAsia="zh-CN"/>
        </w:rPr>
        <w:t>一是完成我校学前教育阶段全部幼儿免费就读，保障幼儿享受学前三年免费政策；二是完成全校义务教育阶段学生正常免费供应营养餐；三是确保按时落实我校各项工作的正常运行。保障义务教育阶段学校正常经费开支运转，确保按时落实义务教育阶段各项工作的正常运行，最大限度保证义务教育阶段正常运转，完成教育教学活动和其他日常工作任务；四是确保按时落实义务教育阶段家庭经济困难学生生活补助政策</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五是本年度加大教师培训力度，在疫情防控要求下，主要以线上培训为主，全面提高教师素质。</w:t>
      </w:r>
      <w:r>
        <w:rPr>
          <w:rFonts w:hint="eastAsia" w:ascii="仿宋_GB2312" w:eastAsia="仿宋_GB2312"/>
          <w:color w:val="auto"/>
          <w:sz w:val="32"/>
          <w:szCs w:val="32"/>
          <w:highlight w:val="none"/>
          <w:lang w:eastAsia="zh-CN"/>
        </w:rPr>
        <w:t>发现的问题及原因：一是</w:t>
      </w:r>
      <w:r>
        <w:rPr>
          <w:rStyle w:val="12"/>
          <w:rFonts w:hint="eastAsia" w:ascii="仿宋_GB2312" w:hAnsi="仿宋_GB2312" w:eastAsia="仿宋_GB2312" w:cs="仿宋_GB2312"/>
          <w:b w:val="0"/>
          <w:bCs w:val="0"/>
          <w:color w:val="auto"/>
          <w:spacing w:val="-4"/>
          <w:sz w:val="32"/>
          <w:szCs w:val="32"/>
          <w:highlight w:val="none"/>
          <w:shd w:val="clear" w:color="auto" w:fill="auto"/>
          <w:lang w:val="en-US" w:eastAsia="zh-CN"/>
        </w:rPr>
        <w:t>预算绩效管理工作机构及职责不完善</w:t>
      </w:r>
      <w:r>
        <w:rPr>
          <w:rFonts w:hint="eastAsia" w:ascii="仿宋_GB2312" w:eastAsia="仿宋_GB2312"/>
          <w:color w:val="auto"/>
          <w:sz w:val="32"/>
          <w:szCs w:val="32"/>
          <w:highlight w:val="none"/>
          <w:lang w:eastAsia="zh-CN"/>
        </w:rPr>
        <w:t>；二是</w:t>
      </w:r>
      <w:r>
        <w:rPr>
          <w:rStyle w:val="12"/>
          <w:rFonts w:hint="eastAsia" w:ascii="仿宋_GB2312" w:hAnsi="仿宋_GB2312" w:eastAsia="仿宋_GB2312" w:cs="仿宋_GB2312"/>
          <w:b w:val="0"/>
          <w:bCs w:val="0"/>
          <w:color w:val="auto"/>
          <w:spacing w:val="-4"/>
          <w:sz w:val="32"/>
          <w:szCs w:val="32"/>
          <w:highlight w:val="none"/>
          <w:shd w:val="clear" w:color="auto" w:fill="auto"/>
          <w:lang w:val="en-US" w:eastAsia="zh-CN"/>
        </w:rPr>
        <w:t>预算绩效管理工作体系尚不完善，绩效目标管理体系不够健全；三是</w:t>
      </w:r>
      <w:r>
        <w:rPr>
          <w:rFonts w:hint="eastAsia" w:ascii="仿宋_GB2312" w:eastAsia="仿宋_GB2312"/>
          <w:sz w:val="32"/>
          <w:szCs w:val="32"/>
          <w:highlight w:val="none"/>
          <w:lang w:val="en-US" w:eastAsia="zh-CN"/>
        </w:rPr>
        <w:t>预算绩效管理缺乏系统的培训，造成预算绩效管理指导不到位、认识不到位，理解不充分，对预算绩效管理工作重点把握不到位</w:t>
      </w:r>
      <w:r>
        <w:rPr>
          <w:rFonts w:hint="eastAsia" w:ascii="仿宋_GB2312" w:eastAsia="仿宋_GB2312"/>
          <w:color w:val="auto"/>
          <w:sz w:val="32"/>
          <w:szCs w:val="32"/>
          <w:highlight w:val="none"/>
          <w:lang w:eastAsia="zh-CN"/>
        </w:rPr>
        <w:t>。下一步改进措施：一是</w:t>
      </w:r>
      <w:r>
        <w:rPr>
          <w:rFonts w:hint="eastAsia" w:ascii="仿宋_GB2312" w:hAnsi="Times New Roman" w:eastAsia="仿宋_GB2312" w:cs="Times New Roman"/>
          <w:kern w:val="2"/>
          <w:sz w:val="32"/>
          <w:szCs w:val="32"/>
          <w:highlight w:val="none"/>
          <w:lang w:val="en-US" w:eastAsia="zh-CN" w:bidi="ar-SA"/>
        </w:rPr>
        <w:t>完善绩效指标，提高整体绩效目标质量。提升预算精细化管理水平</w:t>
      </w:r>
      <w:r>
        <w:rPr>
          <w:rFonts w:hint="eastAsia" w:ascii="仿宋_GB2312" w:eastAsia="仿宋_GB2312"/>
          <w:color w:val="auto"/>
          <w:sz w:val="32"/>
          <w:szCs w:val="32"/>
          <w:highlight w:val="none"/>
          <w:lang w:eastAsia="zh-CN"/>
        </w:rPr>
        <w:t>；二是</w:t>
      </w:r>
      <w:r>
        <w:rPr>
          <w:rFonts w:hint="eastAsia" w:ascii="仿宋_GB2312" w:hAnsi="Times New Roman" w:eastAsia="仿宋_GB2312" w:cs="Times New Roman"/>
          <w:kern w:val="2"/>
          <w:sz w:val="32"/>
          <w:szCs w:val="32"/>
          <w:highlight w:val="none"/>
          <w:lang w:val="en-US" w:eastAsia="zh-CN" w:bidi="ar-SA"/>
        </w:rPr>
        <w:t>加强预算执行管理。做好事前审批、事中管理和事后监督工作，不断加快预算执行进度，推动预算执行按照资金计划有序进行</w:t>
      </w:r>
      <w:r>
        <w:rPr>
          <w:rFonts w:hint="eastAsia" w:ascii="仿宋_GB2312" w:eastAsia="仿宋_GB2312" w:cs="Times New Roman"/>
          <w:kern w:val="2"/>
          <w:sz w:val="32"/>
          <w:szCs w:val="32"/>
          <w:highlight w:val="none"/>
          <w:lang w:val="en-US" w:eastAsia="zh-CN" w:bidi="ar-SA"/>
        </w:rPr>
        <w:t>；三是</w:t>
      </w:r>
      <w:r>
        <w:rPr>
          <w:rFonts w:hint="eastAsia" w:ascii="仿宋_GB2312" w:hAnsi="Times New Roman" w:eastAsia="仿宋_GB2312" w:cs="Times New Roman"/>
          <w:kern w:val="2"/>
          <w:sz w:val="32"/>
          <w:szCs w:val="32"/>
          <w:highlight w:val="none"/>
          <w:lang w:val="en-US" w:eastAsia="zh-CN" w:bidi="ar-SA"/>
        </w:rPr>
        <w:t>强化内部控制管理，严格按规定做好绩效目标申报、自评、公开等相关工作，提高财政资金使用绩效；加强实物资产管理，健全资产管理制度，规范资产清查和核算</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1" w:name="_Toc3250"/>
      <w:bookmarkStart w:id="32"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1"/>
      <w:bookmarkEnd w:id="32"/>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3" w:name="_Toc2183"/>
      <w:bookmarkStart w:id="34" w:name="_Toc6062"/>
      <w:r>
        <w:rPr>
          <w:rFonts w:hint="eastAsia" w:ascii="黑体" w:hAnsi="黑体" w:eastAsia="仿宋_GB2312" w:cs="宋体"/>
          <w:bCs/>
          <w:color w:val="auto"/>
          <w:kern w:val="0"/>
          <w:sz w:val="32"/>
          <w:szCs w:val="32"/>
          <w:highlight w:val="none"/>
        </w:rPr>
        <w:t>一、《收入支出决算总表》</w:t>
      </w:r>
      <w:bookmarkEnd w:id="33"/>
      <w:bookmarkEnd w:id="3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5" w:name="_Toc30364"/>
      <w:bookmarkStart w:id="36" w:name="_Toc24532"/>
      <w:r>
        <w:rPr>
          <w:rFonts w:hint="eastAsia" w:ascii="黑体" w:hAnsi="黑体" w:eastAsia="仿宋_GB2312" w:cs="宋体"/>
          <w:bCs/>
          <w:color w:val="auto"/>
          <w:kern w:val="0"/>
          <w:sz w:val="32"/>
          <w:szCs w:val="32"/>
          <w:highlight w:val="none"/>
        </w:rPr>
        <w:t>二、《收入决算表》</w:t>
      </w:r>
      <w:bookmarkEnd w:id="35"/>
      <w:bookmarkEnd w:id="3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7" w:name="_Toc32434"/>
      <w:bookmarkStart w:id="38" w:name="_Toc21304"/>
      <w:r>
        <w:rPr>
          <w:rFonts w:hint="eastAsia" w:ascii="黑体" w:hAnsi="黑体" w:eastAsia="仿宋_GB2312" w:cs="宋体"/>
          <w:bCs/>
          <w:color w:val="auto"/>
          <w:kern w:val="0"/>
          <w:sz w:val="32"/>
          <w:szCs w:val="32"/>
          <w:highlight w:val="none"/>
        </w:rPr>
        <w:t>三、《支出决算表》</w:t>
      </w:r>
      <w:bookmarkEnd w:id="37"/>
      <w:bookmarkEnd w:id="3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9" w:name="_Toc28786"/>
      <w:bookmarkStart w:id="40" w:name="_Toc14238"/>
      <w:r>
        <w:rPr>
          <w:rFonts w:hint="eastAsia" w:ascii="黑体" w:hAnsi="黑体" w:eastAsia="仿宋_GB2312" w:cs="宋体"/>
          <w:bCs/>
          <w:color w:val="auto"/>
          <w:kern w:val="0"/>
          <w:sz w:val="32"/>
          <w:szCs w:val="32"/>
          <w:highlight w:val="none"/>
        </w:rPr>
        <w:t>四、《财政拨款收入支出决算总表》</w:t>
      </w:r>
      <w:bookmarkEnd w:id="39"/>
      <w:bookmarkEnd w:id="4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1" w:name="_Toc10347"/>
      <w:bookmarkStart w:id="42" w:name="_Toc14869"/>
      <w:r>
        <w:rPr>
          <w:rFonts w:hint="eastAsia" w:ascii="黑体" w:hAnsi="黑体" w:eastAsia="仿宋_GB2312" w:cs="宋体"/>
          <w:bCs/>
          <w:color w:val="auto"/>
          <w:kern w:val="0"/>
          <w:sz w:val="32"/>
          <w:szCs w:val="32"/>
          <w:highlight w:val="none"/>
        </w:rPr>
        <w:t>五、《一般公共预算财政拨款支出决算表》</w:t>
      </w:r>
      <w:bookmarkEnd w:id="41"/>
      <w:bookmarkEnd w:id="4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3" w:name="_Toc5626"/>
      <w:bookmarkStart w:id="44" w:name="_Toc8884"/>
      <w:r>
        <w:rPr>
          <w:rFonts w:hint="eastAsia" w:ascii="黑体" w:hAnsi="黑体" w:eastAsia="仿宋_GB2312" w:cs="宋体"/>
          <w:bCs/>
          <w:color w:val="auto"/>
          <w:kern w:val="0"/>
          <w:sz w:val="32"/>
          <w:szCs w:val="32"/>
          <w:highlight w:val="none"/>
        </w:rPr>
        <w:t>六、《一般公共预算财政拨款基本支出决算表》</w:t>
      </w:r>
      <w:bookmarkEnd w:id="43"/>
      <w:bookmarkEnd w:id="4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5" w:name="_Toc29106"/>
      <w:bookmarkStart w:id="46" w:name="_Toc32663"/>
      <w:r>
        <w:rPr>
          <w:rFonts w:hint="eastAsia" w:ascii="黑体" w:hAnsi="黑体" w:eastAsia="仿宋_GB2312" w:cs="宋体"/>
          <w:bCs/>
          <w:color w:val="auto"/>
          <w:kern w:val="0"/>
          <w:sz w:val="32"/>
          <w:szCs w:val="32"/>
          <w:highlight w:val="none"/>
        </w:rPr>
        <w:t>《财政拨款“三公”经费支出决算表》</w:t>
      </w:r>
      <w:bookmarkEnd w:id="45"/>
      <w:bookmarkEnd w:id="4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7" w:name="_Toc5453"/>
      <w:bookmarkStart w:id="48" w:name="_Toc7643"/>
      <w:r>
        <w:rPr>
          <w:rFonts w:hint="eastAsia" w:ascii="黑体" w:hAnsi="黑体" w:eastAsia="仿宋_GB2312" w:cs="宋体"/>
          <w:bCs/>
          <w:color w:val="auto"/>
          <w:kern w:val="0"/>
          <w:sz w:val="32"/>
          <w:szCs w:val="32"/>
          <w:highlight w:val="none"/>
        </w:rPr>
        <w:t>八、《政府性基金预算财政拨款收入支出决算表》</w:t>
      </w:r>
      <w:bookmarkEnd w:id="47"/>
      <w:bookmarkEnd w:id="4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lOWQ1N2NmYzk0NDI1ZDI5YTJlZTExMjEzNDMyNWEifQ=="/>
    <w:docVar w:name="KSO_WPS_MARK_KEY" w:val="41ee2a61-2d54-4f93-83be-afdb9a40d732"/>
  </w:docVars>
  <w:rsids>
    <w:rsidRoot w:val="00000000"/>
    <w:rsid w:val="00213C59"/>
    <w:rsid w:val="003210CE"/>
    <w:rsid w:val="00B70D59"/>
    <w:rsid w:val="00F52A8D"/>
    <w:rsid w:val="019404F8"/>
    <w:rsid w:val="01D5381D"/>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07463AA"/>
    <w:rsid w:val="112E58D0"/>
    <w:rsid w:val="11646F3E"/>
    <w:rsid w:val="11731CAC"/>
    <w:rsid w:val="119500A0"/>
    <w:rsid w:val="11C0733B"/>
    <w:rsid w:val="11D50D17"/>
    <w:rsid w:val="120E0809"/>
    <w:rsid w:val="127F665A"/>
    <w:rsid w:val="12F7068C"/>
    <w:rsid w:val="132965CD"/>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C77CE2"/>
    <w:rsid w:val="19D26CD4"/>
    <w:rsid w:val="19E60D19"/>
    <w:rsid w:val="1A3E3450"/>
    <w:rsid w:val="1AD807E5"/>
    <w:rsid w:val="1B39345B"/>
    <w:rsid w:val="1BFB2A1F"/>
    <w:rsid w:val="1C015D4A"/>
    <w:rsid w:val="1C290ED5"/>
    <w:rsid w:val="1C317E4F"/>
    <w:rsid w:val="1C472464"/>
    <w:rsid w:val="1CD91925"/>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CC679D3"/>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2D66EB"/>
    <w:rsid w:val="36965B9D"/>
    <w:rsid w:val="36C549FD"/>
    <w:rsid w:val="3782487E"/>
    <w:rsid w:val="37A755DD"/>
    <w:rsid w:val="37F94FA0"/>
    <w:rsid w:val="380D3381"/>
    <w:rsid w:val="38115B1F"/>
    <w:rsid w:val="385E3AC3"/>
    <w:rsid w:val="387D6B9E"/>
    <w:rsid w:val="38B75FF0"/>
    <w:rsid w:val="38D45016"/>
    <w:rsid w:val="38D90432"/>
    <w:rsid w:val="38EC4ECE"/>
    <w:rsid w:val="3914510A"/>
    <w:rsid w:val="3926770B"/>
    <w:rsid w:val="398D3668"/>
    <w:rsid w:val="39DA0497"/>
    <w:rsid w:val="3A893816"/>
    <w:rsid w:val="3A893B6D"/>
    <w:rsid w:val="3AD1763A"/>
    <w:rsid w:val="3B6716E3"/>
    <w:rsid w:val="3B6C6B2D"/>
    <w:rsid w:val="3C242659"/>
    <w:rsid w:val="3C96719C"/>
    <w:rsid w:val="3CA72BE8"/>
    <w:rsid w:val="3CE1340E"/>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0ED46DB"/>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6FA01CF"/>
    <w:rsid w:val="47445515"/>
    <w:rsid w:val="474B4782"/>
    <w:rsid w:val="47D90D14"/>
    <w:rsid w:val="48387FB0"/>
    <w:rsid w:val="483A6114"/>
    <w:rsid w:val="488727DB"/>
    <w:rsid w:val="48B82268"/>
    <w:rsid w:val="48C354B3"/>
    <w:rsid w:val="493D58B5"/>
    <w:rsid w:val="494A7A04"/>
    <w:rsid w:val="49E4712B"/>
    <w:rsid w:val="4A0A26D2"/>
    <w:rsid w:val="4A2019A5"/>
    <w:rsid w:val="4A241A0B"/>
    <w:rsid w:val="4A7B2875"/>
    <w:rsid w:val="4A934476"/>
    <w:rsid w:val="4AAA220A"/>
    <w:rsid w:val="4AE12E67"/>
    <w:rsid w:val="4B4C0111"/>
    <w:rsid w:val="4B8553A9"/>
    <w:rsid w:val="4BDB3730"/>
    <w:rsid w:val="4C200F7A"/>
    <w:rsid w:val="4C881DA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8D4D08"/>
    <w:rsid w:val="52F647F7"/>
    <w:rsid w:val="52F92565"/>
    <w:rsid w:val="53983E97"/>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2B34EB"/>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AFE7E80"/>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C50EF7"/>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6093</Words>
  <Characters>6824</Characters>
  <Lines>0</Lines>
  <Paragraphs>0</Paragraphs>
  <TotalTime>3</TotalTime>
  <ScaleCrop>false</ScaleCrop>
  <LinksUpToDate>false</LinksUpToDate>
  <CharactersWithSpaces>6835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zx~</cp:lastModifiedBy>
  <dcterms:modified xsi:type="dcterms:W3CDTF">2025-04-07T09:32:25Z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659F87F87CE54525B49901FB9D7EEE86_13</vt:lpwstr>
  </property>
</Properties>
</file>